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359"/>
        <w:gridCol w:w="1288"/>
        <w:gridCol w:w="1033"/>
        <w:gridCol w:w="3526"/>
        <w:gridCol w:w="832"/>
      </w:tblGrid>
      <w:tr w:rsidR="00086645" w:rsidRPr="00086645" w:rsidTr="00086645">
        <w:trPr>
          <w:trHeight w:val="285"/>
        </w:trPr>
        <w:tc>
          <w:tcPr>
            <w:tcW w:w="947" w:type="dxa"/>
            <w:noWrap/>
            <w:hideMark/>
          </w:tcPr>
          <w:p w:rsidR="00086645" w:rsidRPr="00086645" w:rsidRDefault="00086645">
            <w:bookmarkStart w:id="0" w:name="_GoBack"/>
          </w:p>
        </w:tc>
        <w:tc>
          <w:tcPr>
            <w:tcW w:w="7206" w:type="dxa"/>
            <w:gridSpan w:val="4"/>
            <w:noWrap/>
            <w:hideMark/>
          </w:tcPr>
          <w:p w:rsidR="00086645" w:rsidRPr="00086645" w:rsidRDefault="00086645" w:rsidP="00086645">
            <w:r w:rsidRPr="00086645">
              <w:t xml:space="preserve">Служба </w:t>
            </w:r>
            <w:proofErr w:type="spellStart"/>
            <w:r w:rsidRPr="00086645">
              <w:t>госстройнадзора</w:t>
            </w:r>
            <w:proofErr w:type="spellEnd"/>
            <w:r w:rsidRPr="00086645">
              <w:t xml:space="preserve"> и экспертизы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/>
        </w:tc>
      </w:tr>
      <w:tr w:rsidR="00086645" w:rsidRPr="00086645" w:rsidTr="00086645">
        <w:trPr>
          <w:trHeight w:val="300"/>
        </w:trPr>
        <w:tc>
          <w:tcPr>
            <w:tcW w:w="947" w:type="dxa"/>
            <w:noWrap/>
            <w:hideMark/>
          </w:tcPr>
          <w:p w:rsidR="00086645" w:rsidRPr="00086645" w:rsidRDefault="00086645"/>
        </w:tc>
        <w:tc>
          <w:tcPr>
            <w:tcW w:w="7206" w:type="dxa"/>
            <w:gridSpan w:val="4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Отчет по обращениям граждан за I квартал 2013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/>
        </w:tc>
      </w:tr>
      <w:tr w:rsidR="00086645" w:rsidRPr="00086645" w:rsidTr="00086645">
        <w:trPr>
          <w:trHeight w:val="285"/>
        </w:trPr>
        <w:tc>
          <w:tcPr>
            <w:tcW w:w="947" w:type="dxa"/>
            <w:noWrap/>
            <w:hideMark/>
          </w:tcPr>
          <w:p w:rsidR="00086645" w:rsidRPr="00086645" w:rsidRDefault="00086645"/>
        </w:tc>
        <w:tc>
          <w:tcPr>
            <w:tcW w:w="1359" w:type="dxa"/>
            <w:noWrap/>
            <w:hideMark/>
          </w:tcPr>
          <w:p w:rsidR="00086645" w:rsidRPr="00086645" w:rsidRDefault="00086645"/>
        </w:tc>
        <w:tc>
          <w:tcPr>
            <w:tcW w:w="1288" w:type="dxa"/>
            <w:noWrap/>
            <w:hideMark/>
          </w:tcPr>
          <w:p w:rsidR="00086645" w:rsidRPr="00086645" w:rsidRDefault="00086645"/>
        </w:tc>
        <w:tc>
          <w:tcPr>
            <w:tcW w:w="1033" w:type="dxa"/>
            <w:noWrap/>
            <w:hideMark/>
          </w:tcPr>
          <w:p w:rsidR="00086645" w:rsidRPr="00086645" w:rsidRDefault="00086645"/>
        </w:tc>
        <w:tc>
          <w:tcPr>
            <w:tcW w:w="3526" w:type="dxa"/>
            <w:noWrap/>
            <w:hideMark/>
          </w:tcPr>
          <w:p w:rsidR="00086645" w:rsidRPr="00086645" w:rsidRDefault="00086645"/>
        </w:tc>
        <w:tc>
          <w:tcPr>
            <w:tcW w:w="832" w:type="dxa"/>
            <w:noWrap/>
            <w:hideMark/>
          </w:tcPr>
          <w:p w:rsidR="00086645" w:rsidRPr="00086645" w:rsidRDefault="00086645"/>
        </w:tc>
      </w:tr>
      <w:tr w:rsidR="00086645" w:rsidRPr="00086645" w:rsidTr="00086645">
        <w:trPr>
          <w:trHeight w:val="300"/>
        </w:trPr>
        <w:tc>
          <w:tcPr>
            <w:tcW w:w="8985" w:type="dxa"/>
            <w:gridSpan w:val="6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1. Общее количество поступивших обращений:</w:t>
            </w:r>
          </w:p>
        </w:tc>
      </w:tr>
      <w:tr w:rsidR="00086645" w:rsidRPr="00086645" w:rsidTr="00086645">
        <w:trPr>
          <w:trHeight w:val="300"/>
        </w:trPr>
        <w:tc>
          <w:tcPr>
            <w:tcW w:w="947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1359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1288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1033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2012 г.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2013 г.</w:t>
            </w:r>
          </w:p>
        </w:tc>
      </w:tr>
      <w:tr w:rsidR="00086645" w:rsidRPr="00086645" w:rsidTr="00086645">
        <w:trPr>
          <w:trHeight w:val="630"/>
        </w:trPr>
        <w:tc>
          <w:tcPr>
            <w:tcW w:w="3594" w:type="dxa"/>
            <w:gridSpan w:val="3"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Всего: обращений/вопросов</w:t>
            </w:r>
          </w:p>
        </w:tc>
        <w:tc>
          <w:tcPr>
            <w:tcW w:w="1033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496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736</w:t>
            </w:r>
          </w:p>
        </w:tc>
      </w:tr>
      <w:tr w:rsidR="00086645" w:rsidRPr="00086645" w:rsidTr="00086645">
        <w:trPr>
          <w:trHeight w:val="630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Из них повторных обращений, поступивших из др. организаций (по рассылке)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127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128</w:t>
            </w:r>
          </w:p>
        </w:tc>
      </w:tr>
      <w:tr w:rsidR="00086645" w:rsidRPr="00086645" w:rsidTr="00086645">
        <w:trPr>
          <w:trHeight w:val="192"/>
        </w:trPr>
        <w:tc>
          <w:tcPr>
            <w:tcW w:w="3594" w:type="dxa"/>
            <w:gridSpan w:val="3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1033" w:type="dxa"/>
            <w:noWrap/>
            <w:hideMark/>
          </w:tcPr>
          <w:p w:rsidR="00086645" w:rsidRPr="00086645" w:rsidRDefault="00086645">
            <w:r w:rsidRPr="00086645">
              <w:t> 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</w:tr>
      <w:tr w:rsidR="00086645" w:rsidRPr="00086645" w:rsidTr="00086645">
        <w:trPr>
          <w:trHeight w:val="252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По формам обращения: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/>
        </w:tc>
        <w:tc>
          <w:tcPr>
            <w:tcW w:w="832" w:type="dxa"/>
            <w:noWrap/>
            <w:hideMark/>
          </w:tcPr>
          <w:p w:rsidR="00086645" w:rsidRPr="00086645" w:rsidRDefault="00086645"/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Личный прием руководителем: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6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По факсу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54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По электронной почте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80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С сайта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33</w:t>
            </w:r>
          </w:p>
        </w:tc>
      </w:tr>
      <w:tr w:rsidR="00086645" w:rsidRPr="00086645" w:rsidTr="00086645">
        <w:trPr>
          <w:trHeight w:val="300"/>
        </w:trPr>
        <w:tc>
          <w:tcPr>
            <w:tcW w:w="8985" w:type="dxa"/>
            <w:gridSpan w:val="6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2. Количество обращений, рассмотренных в срок: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До 5 дней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80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До 15 дней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228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С нарушением сроков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0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proofErr w:type="gramStart"/>
            <w:r w:rsidRPr="00086645">
              <w:t>Неисполненные за предыдущие периоды</w:t>
            </w:r>
            <w:proofErr w:type="gramEnd"/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0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Находятся на исполнении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147</w:t>
            </w:r>
          </w:p>
        </w:tc>
      </w:tr>
      <w:tr w:rsidR="00086645" w:rsidRPr="00086645" w:rsidTr="00086645">
        <w:trPr>
          <w:trHeight w:val="300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3. Результативность рассмотрения вопросов в обращениях граждан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/>
        </w:tc>
        <w:tc>
          <w:tcPr>
            <w:tcW w:w="832" w:type="dxa"/>
            <w:noWrap/>
            <w:hideMark/>
          </w:tcPr>
          <w:p w:rsidR="00086645" w:rsidRPr="00086645" w:rsidRDefault="00086645"/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Результативность рассмотрения вопросов всего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548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-отказано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4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</w:t>
            </w:r>
            <w:proofErr w:type="spellStart"/>
            <w:proofErr w:type="gramStart"/>
            <w:r w:rsidRPr="00086645">
              <w:t>p</w:t>
            </w:r>
            <w:proofErr w:type="gramEnd"/>
            <w:r w:rsidRPr="00086645">
              <w:t>азъяснено</w:t>
            </w:r>
            <w:proofErr w:type="spellEnd"/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322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-запрос выполнен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38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-меры приняты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63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-вне компетенции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7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-направить по принадлежности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36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-факты подтвердились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34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r w:rsidRPr="00086645">
              <w:t>-виновные наказаны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29</w:t>
            </w:r>
          </w:p>
        </w:tc>
      </w:tr>
      <w:tr w:rsidR="00086645" w:rsidRPr="00086645" w:rsidTr="00086645">
        <w:trPr>
          <w:trHeight w:val="300"/>
        </w:trPr>
        <w:tc>
          <w:tcPr>
            <w:tcW w:w="8985" w:type="dxa"/>
            <w:gridSpan w:val="6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4.Сведения о тематике обращений</w:t>
            </w:r>
          </w:p>
        </w:tc>
      </w:tr>
      <w:tr w:rsidR="00086645" w:rsidRPr="00086645" w:rsidTr="00086645">
        <w:trPr>
          <w:trHeight w:val="300"/>
        </w:trPr>
        <w:tc>
          <w:tcPr>
            <w:tcW w:w="4627" w:type="dxa"/>
            <w:gridSpan w:val="4"/>
            <w:noWrap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Строительство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710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98,47 %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СТРОИТЕЛЬСТВО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230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31,9 %</w:t>
            </w:r>
          </w:p>
        </w:tc>
      </w:tr>
      <w:tr w:rsidR="00086645" w:rsidRPr="00086645" w:rsidTr="00086645">
        <w:trPr>
          <w:trHeight w:val="529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НЕГАТИВНОМ ВЛИЯНИИ СТРОИТЕЛЬСТВА НА ОКРУЖАЮЩУЮ ЗАСТРОЙКУ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189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26,21 %</w:t>
            </w:r>
          </w:p>
        </w:tc>
      </w:tr>
      <w:tr w:rsidR="00086645" w:rsidRPr="00086645" w:rsidTr="00086645">
        <w:trPr>
          <w:trHeight w:val="529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НАРУШЕНИИ ГРАДОСТРОИТЕЛЬНОГО ЗАКОНОДАТЕЛЬСТВА ПРИ СТРОИТЕЛЬСТВЕ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68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9,43 %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ПРЕДОСТАВЛЕНИИ ИНФОРМАЦИИ ПО СТРОЯЩИМСЯ ОБЪЕКТАМ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44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6,1 %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КАЧЕСТВЕ СДАННЫХ В ЭКСПЛУАТАЦИЮ ДОМОВ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43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5,96 %</w:t>
            </w:r>
          </w:p>
        </w:tc>
      </w:tr>
      <w:tr w:rsidR="00086645" w:rsidRPr="00086645" w:rsidTr="00086645">
        <w:trPr>
          <w:trHeight w:val="559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ПРОВЕДЕНИИ СТРОИТЕЛЬНЫХ РАБОТ НА ЭКСПЛУАТИРУЕМЫХ ОБЪЕКТАХ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35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4,85 %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ДРУГИЕ ВОПРОСЫ СТРОИТЕЛЬСТВА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21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2,91 %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 xml:space="preserve">О НАРУШЕНИЯХ НА СТРОИТЕЛЬНЫХ </w:t>
            </w:r>
            <w:r w:rsidRPr="00086645">
              <w:lastRenderedPageBreak/>
              <w:t>ПЛОЩАДКАХ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lastRenderedPageBreak/>
              <w:t>20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2,77 %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lastRenderedPageBreak/>
              <w:t>ОБ УПЛОТНИТЕЛЬНОЙ ЗАСТРОЙКЕ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18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2,5 %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 СТРОИТЕЛЬНЫХ РАБОТАХ В  НОЧНОЕ ВРЕМЯ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16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2,22 %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ОБ ОБМАНУТЫХ ДОЛЬЩИКАХ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14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1,94 %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О СРОКАХ СДАЧИ ДОМОВ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12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1,66 %</w:t>
            </w:r>
          </w:p>
        </w:tc>
      </w:tr>
      <w:tr w:rsidR="00086645" w:rsidRPr="00086645" w:rsidTr="00086645">
        <w:trPr>
          <w:trHeight w:val="300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pPr>
              <w:rPr>
                <w:b/>
                <w:bCs/>
              </w:rPr>
            </w:pPr>
            <w:r w:rsidRPr="00086645">
              <w:rPr>
                <w:b/>
                <w:bCs/>
              </w:rPr>
              <w:t>Другие темы обращений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 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ИНДИВИДУАЛЬНОЕ ЖИЛИЩНОЕ СТРОИТЕЛЬСТВО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8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1,11 %</w:t>
            </w:r>
          </w:p>
        </w:tc>
      </w:tr>
      <w:tr w:rsidR="00086645" w:rsidRPr="00086645" w:rsidTr="00086645">
        <w:trPr>
          <w:trHeight w:val="285"/>
        </w:trPr>
        <w:tc>
          <w:tcPr>
            <w:tcW w:w="4627" w:type="dxa"/>
            <w:gridSpan w:val="4"/>
            <w:hideMark/>
          </w:tcPr>
          <w:p w:rsidR="00086645" w:rsidRPr="00086645" w:rsidRDefault="00086645">
            <w:r w:rsidRPr="00086645">
              <w:t>РАБОТА С ОБРАЩЕНИЯМИ ГРАЖДАН</w:t>
            </w:r>
          </w:p>
        </w:tc>
        <w:tc>
          <w:tcPr>
            <w:tcW w:w="3526" w:type="dxa"/>
            <w:noWrap/>
            <w:hideMark/>
          </w:tcPr>
          <w:p w:rsidR="00086645" w:rsidRPr="00086645" w:rsidRDefault="00086645" w:rsidP="00086645">
            <w:r w:rsidRPr="00086645">
              <w:t>3</w:t>
            </w:r>
          </w:p>
        </w:tc>
        <w:tc>
          <w:tcPr>
            <w:tcW w:w="832" w:type="dxa"/>
            <w:noWrap/>
            <w:hideMark/>
          </w:tcPr>
          <w:p w:rsidR="00086645" w:rsidRPr="00086645" w:rsidRDefault="00086645" w:rsidP="00086645">
            <w:r w:rsidRPr="00086645">
              <w:t>0,42 %</w:t>
            </w:r>
          </w:p>
        </w:tc>
      </w:tr>
      <w:bookmarkEnd w:id="0"/>
    </w:tbl>
    <w:p w:rsidR="00AA6180" w:rsidRDefault="00AA6180"/>
    <w:sectPr w:rsidR="00A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45"/>
    <w:rsid w:val="00002352"/>
    <w:rsid w:val="0000368F"/>
    <w:rsid w:val="00004A99"/>
    <w:rsid w:val="0001216D"/>
    <w:rsid w:val="000126FC"/>
    <w:rsid w:val="00013B79"/>
    <w:rsid w:val="0003185C"/>
    <w:rsid w:val="00040AD6"/>
    <w:rsid w:val="00047307"/>
    <w:rsid w:val="00050807"/>
    <w:rsid w:val="00053773"/>
    <w:rsid w:val="00053A61"/>
    <w:rsid w:val="00062273"/>
    <w:rsid w:val="00066F21"/>
    <w:rsid w:val="00071BDC"/>
    <w:rsid w:val="00081C8F"/>
    <w:rsid w:val="00086645"/>
    <w:rsid w:val="00094AA8"/>
    <w:rsid w:val="000A38E1"/>
    <w:rsid w:val="000B323C"/>
    <w:rsid w:val="000B60AA"/>
    <w:rsid w:val="000D2DEE"/>
    <w:rsid w:val="000D2E2F"/>
    <w:rsid w:val="000D5598"/>
    <w:rsid w:val="000E4391"/>
    <w:rsid w:val="000F31AC"/>
    <w:rsid w:val="000F3720"/>
    <w:rsid w:val="00103F51"/>
    <w:rsid w:val="001070AF"/>
    <w:rsid w:val="00111D28"/>
    <w:rsid w:val="0011698F"/>
    <w:rsid w:val="00117F16"/>
    <w:rsid w:val="00130DFE"/>
    <w:rsid w:val="00131C3D"/>
    <w:rsid w:val="001320C5"/>
    <w:rsid w:val="0013539D"/>
    <w:rsid w:val="00141C20"/>
    <w:rsid w:val="001441BD"/>
    <w:rsid w:val="00144966"/>
    <w:rsid w:val="00145950"/>
    <w:rsid w:val="00152A17"/>
    <w:rsid w:val="001624DE"/>
    <w:rsid w:val="00175CD6"/>
    <w:rsid w:val="00180C64"/>
    <w:rsid w:val="00183217"/>
    <w:rsid w:val="00183722"/>
    <w:rsid w:val="0019522E"/>
    <w:rsid w:val="00195403"/>
    <w:rsid w:val="001B43B1"/>
    <w:rsid w:val="001C0D5A"/>
    <w:rsid w:val="001C1524"/>
    <w:rsid w:val="001C3EF0"/>
    <w:rsid w:val="001C43C7"/>
    <w:rsid w:val="001C694F"/>
    <w:rsid w:val="001D0302"/>
    <w:rsid w:val="001D0976"/>
    <w:rsid w:val="001D49E7"/>
    <w:rsid w:val="001F6955"/>
    <w:rsid w:val="002002AA"/>
    <w:rsid w:val="002025CE"/>
    <w:rsid w:val="002032F4"/>
    <w:rsid w:val="0021353C"/>
    <w:rsid w:val="00221BC6"/>
    <w:rsid w:val="0022447A"/>
    <w:rsid w:val="00233140"/>
    <w:rsid w:val="00235AED"/>
    <w:rsid w:val="00245CEA"/>
    <w:rsid w:val="00254845"/>
    <w:rsid w:val="00263C11"/>
    <w:rsid w:val="00267455"/>
    <w:rsid w:val="00275674"/>
    <w:rsid w:val="00284E6A"/>
    <w:rsid w:val="002945CD"/>
    <w:rsid w:val="00294966"/>
    <w:rsid w:val="00294C26"/>
    <w:rsid w:val="00295E30"/>
    <w:rsid w:val="002A7005"/>
    <w:rsid w:val="002B744B"/>
    <w:rsid w:val="002E1AE2"/>
    <w:rsid w:val="002E2169"/>
    <w:rsid w:val="002E2BF8"/>
    <w:rsid w:val="002E69DC"/>
    <w:rsid w:val="002F4201"/>
    <w:rsid w:val="002F6C25"/>
    <w:rsid w:val="0030279A"/>
    <w:rsid w:val="003037B6"/>
    <w:rsid w:val="0031205C"/>
    <w:rsid w:val="00323B93"/>
    <w:rsid w:val="0034232A"/>
    <w:rsid w:val="00350337"/>
    <w:rsid w:val="00350FB8"/>
    <w:rsid w:val="003546DC"/>
    <w:rsid w:val="00356BBA"/>
    <w:rsid w:val="00356C97"/>
    <w:rsid w:val="00356D8D"/>
    <w:rsid w:val="003625F2"/>
    <w:rsid w:val="00363623"/>
    <w:rsid w:val="00371F57"/>
    <w:rsid w:val="00397401"/>
    <w:rsid w:val="003A2AFD"/>
    <w:rsid w:val="003A3B06"/>
    <w:rsid w:val="003A4CF8"/>
    <w:rsid w:val="003B1826"/>
    <w:rsid w:val="003B55B4"/>
    <w:rsid w:val="003C3F6B"/>
    <w:rsid w:val="003C6C69"/>
    <w:rsid w:val="003E1D98"/>
    <w:rsid w:val="003E5739"/>
    <w:rsid w:val="003E5853"/>
    <w:rsid w:val="003E7C7A"/>
    <w:rsid w:val="003F3CF7"/>
    <w:rsid w:val="0040765A"/>
    <w:rsid w:val="004172ED"/>
    <w:rsid w:val="00426C89"/>
    <w:rsid w:val="00445A5C"/>
    <w:rsid w:val="004671DD"/>
    <w:rsid w:val="004704B7"/>
    <w:rsid w:val="004777DE"/>
    <w:rsid w:val="0048099B"/>
    <w:rsid w:val="004901E7"/>
    <w:rsid w:val="00495282"/>
    <w:rsid w:val="004A7B85"/>
    <w:rsid w:val="004B077A"/>
    <w:rsid w:val="004C1A5F"/>
    <w:rsid w:val="004C6891"/>
    <w:rsid w:val="004D38EB"/>
    <w:rsid w:val="004D62E2"/>
    <w:rsid w:val="004E3AC3"/>
    <w:rsid w:val="004F2787"/>
    <w:rsid w:val="004F7360"/>
    <w:rsid w:val="0051591F"/>
    <w:rsid w:val="00531B20"/>
    <w:rsid w:val="00532916"/>
    <w:rsid w:val="00534442"/>
    <w:rsid w:val="0053775B"/>
    <w:rsid w:val="00563BE5"/>
    <w:rsid w:val="00563C06"/>
    <w:rsid w:val="00563D13"/>
    <w:rsid w:val="00572666"/>
    <w:rsid w:val="0059140F"/>
    <w:rsid w:val="00595360"/>
    <w:rsid w:val="005A24DC"/>
    <w:rsid w:val="005A2C72"/>
    <w:rsid w:val="005A7FDF"/>
    <w:rsid w:val="005B3F2C"/>
    <w:rsid w:val="005B5190"/>
    <w:rsid w:val="005C4320"/>
    <w:rsid w:val="005D55FC"/>
    <w:rsid w:val="005E5C64"/>
    <w:rsid w:val="0060078F"/>
    <w:rsid w:val="00607262"/>
    <w:rsid w:val="00627A5A"/>
    <w:rsid w:val="00632C9B"/>
    <w:rsid w:val="00635597"/>
    <w:rsid w:val="00650809"/>
    <w:rsid w:val="00651EA8"/>
    <w:rsid w:val="00652257"/>
    <w:rsid w:val="006566D1"/>
    <w:rsid w:val="00657D04"/>
    <w:rsid w:val="00666FB8"/>
    <w:rsid w:val="00677A9C"/>
    <w:rsid w:val="006845D9"/>
    <w:rsid w:val="00695F02"/>
    <w:rsid w:val="00697C0E"/>
    <w:rsid w:val="006B1491"/>
    <w:rsid w:val="006B5B4B"/>
    <w:rsid w:val="006B5F80"/>
    <w:rsid w:val="006C0330"/>
    <w:rsid w:val="006C2F63"/>
    <w:rsid w:val="006C4F0B"/>
    <w:rsid w:val="006D0E8D"/>
    <w:rsid w:val="006D1048"/>
    <w:rsid w:val="006D26F7"/>
    <w:rsid w:val="006D58A3"/>
    <w:rsid w:val="006E050A"/>
    <w:rsid w:val="006E1655"/>
    <w:rsid w:val="006E43C9"/>
    <w:rsid w:val="0070101A"/>
    <w:rsid w:val="00712F95"/>
    <w:rsid w:val="00720485"/>
    <w:rsid w:val="00724665"/>
    <w:rsid w:val="00731C6C"/>
    <w:rsid w:val="007349F7"/>
    <w:rsid w:val="007367B5"/>
    <w:rsid w:val="00756F7F"/>
    <w:rsid w:val="00757FB5"/>
    <w:rsid w:val="00761B59"/>
    <w:rsid w:val="00777026"/>
    <w:rsid w:val="00787416"/>
    <w:rsid w:val="007909C7"/>
    <w:rsid w:val="007915D3"/>
    <w:rsid w:val="00793FF1"/>
    <w:rsid w:val="007A1D61"/>
    <w:rsid w:val="007A7290"/>
    <w:rsid w:val="007A7D5B"/>
    <w:rsid w:val="007B495B"/>
    <w:rsid w:val="007B7E30"/>
    <w:rsid w:val="007C7C8C"/>
    <w:rsid w:val="007D0C1B"/>
    <w:rsid w:val="007E615A"/>
    <w:rsid w:val="007F39AE"/>
    <w:rsid w:val="007F4C00"/>
    <w:rsid w:val="007F7DF8"/>
    <w:rsid w:val="00801C13"/>
    <w:rsid w:val="00801C75"/>
    <w:rsid w:val="008106C2"/>
    <w:rsid w:val="008313EA"/>
    <w:rsid w:val="00832768"/>
    <w:rsid w:val="00837B8C"/>
    <w:rsid w:val="00852560"/>
    <w:rsid w:val="00860117"/>
    <w:rsid w:val="0086357C"/>
    <w:rsid w:val="00863995"/>
    <w:rsid w:val="0088365B"/>
    <w:rsid w:val="00890278"/>
    <w:rsid w:val="00894DCA"/>
    <w:rsid w:val="008957A3"/>
    <w:rsid w:val="008A6DE9"/>
    <w:rsid w:val="008B37F8"/>
    <w:rsid w:val="008B3982"/>
    <w:rsid w:val="008B60E0"/>
    <w:rsid w:val="008C1C46"/>
    <w:rsid w:val="008C78DB"/>
    <w:rsid w:val="008C7CE8"/>
    <w:rsid w:val="008D34D4"/>
    <w:rsid w:val="008D67DB"/>
    <w:rsid w:val="008E23A1"/>
    <w:rsid w:val="008F3255"/>
    <w:rsid w:val="008F51D1"/>
    <w:rsid w:val="00905207"/>
    <w:rsid w:val="00912590"/>
    <w:rsid w:val="009129EA"/>
    <w:rsid w:val="00931854"/>
    <w:rsid w:val="0093446D"/>
    <w:rsid w:val="00963BCE"/>
    <w:rsid w:val="00964E92"/>
    <w:rsid w:val="00977193"/>
    <w:rsid w:val="00980CF2"/>
    <w:rsid w:val="009822F7"/>
    <w:rsid w:val="009906E9"/>
    <w:rsid w:val="009A18E9"/>
    <w:rsid w:val="009B0E7E"/>
    <w:rsid w:val="009B22BB"/>
    <w:rsid w:val="009B6BD9"/>
    <w:rsid w:val="009D7E56"/>
    <w:rsid w:val="009E7B7B"/>
    <w:rsid w:val="009E7FF6"/>
    <w:rsid w:val="009F27FD"/>
    <w:rsid w:val="009F7DD4"/>
    <w:rsid w:val="00A0558A"/>
    <w:rsid w:val="00A15FBE"/>
    <w:rsid w:val="00A23902"/>
    <w:rsid w:val="00A24C80"/>
    <w:rsid w:val="00A25594"/>
    <w:rsid w:val="00A27CB1"/>
    <w:rsid w:val="00A31206"/>
    <w:rsid w:val="00A33095"/>
    <w:rsid w:val="00A35EE0"/>
    <w:rsid w:val="00A36913"/>
    <w:rsid w:val="00A43932"/>
    <w:rsid w:val="00A4478E"/>
    <w:rsid w:val="00A46437"/>
    <w:rsid w:val="00A506E4"/>
    <w:rsid w:val="00A55A31"/>
    <w:rsid w:val="00A7209A"/>
    <w:rsid w:val="00A7535D"/>
    <w:rsid w:val="00A76BF2"/>
    <w:rsid w:val="00A97BD5"/>
    <w:rsid w:val="00AA22FF"/>
    <w:rsid w:val="00AA274F"/>
    <w:rsid w:val="00AA6180"/>
    <w:rsid w:val="00AB3551"/>
    <w:rsid w:val="00AB5DF2"/>
    <w:rsid w:val="00AC62FC"/>
    <w:rsid w:val="00AD03B6"/>
    <w:rsid w:val="00AD0E27"/>
    <w:rsid w:val="00AE5691"/>
    <w:rsid w:val="00AE663C"/>
    <w:rsid w:val="00AE7EA7"/>
    <w:rsid w:val="00AF52FA"/>
    <w:rsid w:val="00B117FC"/>
    <w:rsid w:val="00B13AB6"/>
    <w:rsid w:val="00B16704"/>
    <w:rsid w:val="00B23372"/>
    <w:rsid w:val="00B23973"/>
    <w:rsid w:val="00B24612"/>
    <w:rsid w:val="00B25336"/>
    <w:rsid w:val="00B370AE"/>
    <w:rsid w:val="00B505B8"/>
    <w:rsid w:val="00B51DEB"/>
    <w:rsid w:val="00B5203E"/>
    <w:rsid w:val="00B61C40"/>
    <w:rsid w:val="00B74F0E"/>
    <w:rsid w:val="00B76EE4"/>
    <w:rsid w:val="00B77C95"/>
    <w:rsid w:val="00B825D1"/>
    <w:rsid w:val="00B86DC3"/>
    <w:rsid w:val="00B92A7C"/>
    <w:rsid w:val="00B95294"/>
    <w:rsid w:val="00BA17B2"/>
    <w:rsid w:val="00BB6CB3"/>
    <w:rsid w:val="00BC0588"/>
    <w:rsid w:val="00BC0E09"/>
    <w:rsid w:val="00BC174C"/>
    <w:rsid w:val="00BC26BC"/>
    <w:rsid w:val="00BD23C5"/>
    <w:rsid w:val="00BD6D79"/>
    <w:rsid w:val="00BE64D7"/>
    <w:rsid w:val="00BF2579"/>
    <w:rsid w:val="00BF7E13"/>
    <w:rsid w:val="00C02422"/>
    <w:rsid w:val="00C07A56"/>
    <w:rsid w:val="00C24A31"/>
    <w:rsid w:val="00C26A50"/>
    <w:rsid w:val="00C31BDC"/>
    <w:rsid w:val="00C31CEE"/>
    <w:rsid w:val="00C373BD"/>
    <w:rsid w:val="00C454DC"/>
    <w:rsid w:val="00C514D9"/>
    <w:rsid w:val="00C70466"/>
    <w:rsid w:val="00C86DE9"/>
    <w:rsid w:val="00CA3F0E"/>
    <w:rsid w:val="00CB2E60"/>
    <w:rsid w:val="00CB7B0F"/>
    <w:rsid w:val="00CD0118"/>
    <w:rsid w:val="00CD381C"/>
    <w:rsid w:val="00CD5099"/>
    <w:rsid w:val="00CD5841"/>
    <w:rsid w:val="00CE2093"/>
    <w:rsid w:val="00CE351E"/>
    <w:rsid w:val="00CF2C2D"/>
    <w:rsid w:val="00CF31BF"/>
    <w:rsid w:val="00CF390C"/>
    <w:rsid w:val="00CF3C5C"/>
    <w:rsid w:val="00D23095"/>
    <w:rsid w:val="00D277A4"/>
    <w:rsid w:val="00D27B61"/>
    <w:rsid w:val="00D30112"/>
    <w:rsid w:val="00D32A3F"/>
    <w:rsid w:val="00D35628"/>
    <w:rsid w:val="00D53C0A"/>
    <w:rsid w:val="00D53E46"/>
    <w:rsid w:val="00D56A70"/>
    <w:rsid w:val="00D62629"/>
    <w:rsid w:val="00D62A95"/>
    <w:rsid w:val="00D63482"/>
    <w:rsid w:val="00D674AE"/>
    <w:rsid w:val="00D87174"/>
    <w:rsid w:val="00D90D10"/>
    <w:rsid w:val="00D93C1C"/>
    <w:rsid w:val="00DA1539"/>
    <w:rsid w:val="00DA26EB"/>
    <w:rsid w:val="00DA59B1"/>
    <w:rsid w:val="00DB33F7"/>
    <w:rsid w:val="00DB5850"/>
    <w:rsid w:val="00DC0D61"/>
    <w:rsid w:val="00DE0A84"/>
    <w:rsid w:val="00DF271F"/>
    <w:rsid w:val="00DF48C2"/>
    <w:rsid w:val="00E04645"/>
    <w:rsid w:val="00E07A04"/>
    <w:rsid w:val="00E11797"/>
    <w:rsid w:val="00E13723"/>
    <w:rsid w:val="00E14F45"/>
    <w:rsid w:val="00E413EB"/>
    <w:rsid w:val="00E45DEA"/>
    <w:rsid w:val="00E75530"/>
    <w:rsid w:val="00E7575A"/>
    <w:rsid w:val="00E83E72"/>
    <w:rsid w:val="00EA381E"/>
    <w:rsid w:val="00EA512A"/>
    <w:rsid w:val="00EA55E3"/>
    <w:rsid w:val="00EA667B"/>
    <w:rsid w:val="00EA6EBC"/>
    <w:rsid w:val="00EC16D6"/>
    <w:rsid w:val="00ED1C4F"/>
    <w:rsid w:val="00EE1B7B"/>
    <w:rsid w:val="00EE1E37"/>
    <w:rsid w:val="00EF0C43"/>
    <w:rsid w:val="00F0293B"/>
    <w:rsid w:val="00F12433"/>
    <w:rsid w:val="00F137D1"/>
    <w:rsid w:val="00F219D1"/>
    <w:rsid w:val="00F277C1"/>
    <w:rsid w:val="00F32966"/>
    <w:rsid w:val="00F403A8"/>
    <w:rsid w:val="00F5344F"/>
    <w:rsid w:val="00F548A7"/>
    <w:rsid w:val="00F62C99"/>
    <w:rsid w:val="00F711F9"/>
    <w:rsid w:val="00F756DE"/>
    <w:rsid w:val="00F92C88"/>
    <w:rsid w:val="00F93930"/>
    <w:rsid w:val="00F94A6E"/>
    <w:rsid w:val="00F96042"/>
    <w:rsid w:val="00F96B51"/>
    <w:rsid w:val="00FA4C4D"/>
    <w:rsid w:val="00FA6290"/>
    <w:rsid w:val="00FB1BDC"/>
    <w:rsid w:val="00FB3225"/>
    <w:rsid w:val="00FB6ED6"/>
    <w:rsid w:val="00FE48BA"/>
    <w:rsid w:val="00FE53F6"/>
    <w:rsid w:val="00FE685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Фриденталь</dc:creator>
  <cp:lastModifiedBy>Анна А. Фриденталь</cp:lastModifiedBy>
  <cp:revision>1</cp:revision>
  <dcterms:created xsi:type="dcterms:W3CDTF">2014-12-16T14:37:00Z</dcterms:created>
  <dcterms:modified xsi:type="dcterms:W3CDTF">2014-12-16T14:40:00Z</dcterms:modified>
</cp:coreProperties>
</file>