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AE4" w:rsidRPr="00305A60" w:rsidRDefault="00FD2AE4" w:rsidP="00892335">
      <w:pPr>
        <w:ind w:firstLine="540"/>
        <w:jc w:val="center"/>
        <w:rPr>
          <w:bCs/>
          <w:i/>
        </w:rPr>
      </w:pPr>
      <w:bookmarkStart w:id="0" w:name="_GoBack"/>
      <w:bookmarkEnd w:id="0"/>
      <w:r>
        <w:rPr>
          <w:bCs/>
          <w:i/>
          <w:sz w:val="28"/>
          <w:szCs w:val="28"/>
        </w:rPr>
        <w:t xml:space="preserve">                                                                                                 </w:t>
      </w:r>
      <w:r w:rsidRPr="00FD2AE4">
        <w:rPr>
          <w:bCs/>
          <w:i/>
          <w:sz w:val="32"/>
          <w:szCs w:val="32"/>
        </w:rPr>
        <w:t xml:space="preserve"> </w:t>
      </w:r>
      <w:r w:rsidRPr="00305A60">
        <w:rPr>
          <w:bCs/>
          <w:i/>
        </w:rPr>
        <w:t>ПРОЕКТ</w:t>
      </w:r>
    </w:p>
    <w:p w:rsidR="00FD2AE4" w:rsidRDefault="00FD2AE4" w:rsidP="00892335">
      <w:pPr>
        <w:ind w:firstLine="540"/>
        <w:jc w:val="center"/>
        <w:rPr>
          <w:bCs/>
        </w:rPr>
      </w:pPr>
    </w:p>
    <w:p w:rsidR="00941E68" w:rsidRPr="00305A60" w:rsidRDefault="00941E68" w:rsidP="00892335">
      <w:pPr>
        <w:ind w:firstLine="540"/>
        <w:jc w:val="center"/>
        <w:rPr>
          <w:bCs/>
        </w:rPr>
      </w:pPr>
    </w:p>
    <w:p w:rsidR="00860E02" w:rsidRPr="00FD0FC8" w:rsidRDefault="00FA1737" w:rsidP="00892335">
      <w:pPr>
        <w:ind w:firstLine="540"/>
        <w:jc w:val="center"/>
        <w:rPr>
          <w:bCs/>
        </w:rPr>
      </w:pPr>
      <w:r w:rsidRPr="00FD0FC8">
        <w:rPr>
          <w:bCs/>
        </w:rPr>
        <w:t>Доклад</w:t>
      </w:r>
      <w:r w:rsidR="00892335" w:rsidRPr="00FD0FC8">
        <w:rPr>
          <w:bCs/>
        </w:rPr>
        <w:t xml:space="preserve"> </w:t>
      </w:r>
      <w:r w:rsidR="00F05DA8" w:rsidRPr="00FD0FC8">
        <w:rPr>
          <w:bCs/>
        </w:rPr>
        <w:t xml:space="preserve">о </w:t>
      </w:r>
      <w:r w:rsidR="00892335" w:rsidRPr="00FD0FC8">
        <w:rPr>
          <w:bCs/>
        </w:rPr>
        <w:t>правоприменительной практик</w:t>
      </w:r>
      <w:r w:rsidR="00F05DA8" w:rsidRPr="00FD0FC8">
        <w:rPr>
          <w:bCs/>
        </w:rPr>
        <w:t>е</w:t>
      </w:r>
      <w:r w:rsidR="00892335" w:rsidRPr="00FD0FC8">
        <w:rPr>
          <w:bCs/>
        </w:rPr>
        <w:t xml:space="preserve"> контрольно</w:t>
      </w:r>
      <w:r w:rsidR="00712BF3">
        <w:rPr>
          <w:bCs/>
        </w:rPr>
        <w:t>й (</w:t>
      </w:r>
      <w:r w:rsidR="00892335" w:rsidRPr="00FD0FC8">
        <w:rPr>
          <w:bCs/>
        </w:rPr>
        <w:t>надзорной</w:t>
      </w:r>
      <w:r w:rsidR="00712BF3">
        <w:rPr>
          <w:bCs/>
        </w:rPr>
        <w:t>)</w:t>
      </w:r>
      <w:r w:rsidR="00892335" w:rsidRPr="00FD0FC8">
        <w:rPr>
          <w:bCs/>
        </w:rPr>
        <w:t xml:space="preserve"> деятельности </w:t>
      </w:r>
      <w:r w:rsidR="00D239D0" w:rsidRPr="00FD0FC8">
        <w:rPr>
          <w:bCs/>
        </w:rPr>
        <w:t>Комитета по строительству за 202</w:t>
      </w:r>
      <w:r w:rsidR="00744B00" w:rsidRPr="00FD0FC8">
        <w:rPr>
          <w:bCs/>
        </w:rPr>
        <w:t>2</w:t>
      </w:r>
      <w:r w:rsidR="00892335" w:rsidRPr="00FD0FC8">
        <w:rPr>
          <w:bCs/>
        </w:rPr>
        <w:t xml:space="preserve"> год</w:t>
      </w:r>
      <w:r w:rsidR="00570106" w:rsidRPr="00FD0FC8">
        <w:rPr>
          <w:bCs/>
        </w:rPr>
        <w:t xml:space="preserve"> </w:t>
      </w:r>
    </w:p>
    <w:p w:rsidR="00892335" w:rsidRDefault="00892335" w:rsidP="00892335">
      <w:pPr>
        <w:ind w:firstLine="540"/>
        <w:jc w:val="center"/>
        <w:rPr>
          <w:bCs/>
        </w:rPr>
      </w:pPr>
    </w:p>
    <w:p w:rsidR="00941E68" w:rsidRPr="00FD0FC8" w:rsidRDefault="00941E68" w:rsidP="00892335">
      <w:pPr>
        <w:ind w:firstLine="540"/>
        <w:jc w:val="center"/>
        <w:rPr>
          <w:bCs/>
        </w:rPr>
      </w:pPr>
    </w:p>
    <w:p w:rsidR="00D155EC" w:rsidRPr="005B3B57" w:rsidRDefault="00D155EC" w:rsidP="00D155EC">
      <w:pPr>
        <w:ind w:firstLine="709"/>
        <w:rPr>
          <w:bCs/>
        </w:rPr>
      </w:pPr>
      <w:r w:rsidRPr="005B3B57">
        <w:rPr>
          <w:bCs/>
        </w:rPr>
        <w:t>В соответствии с Положением о Комитете по строительству, утвержденным постановлением Правительства Санкт-Петербурга от 28.04.2004 № 650 «О Комитете</w:t>
      </w:r>
      <w:r w:rsidRPr="005B3B57">
        <w:rPr>
          <w:bCs/>
        </w:rPr>
        <w:br/>
        <w:t>по строител</w:t>
      </w:r>
      <w:r>
        <w:rPr>
          <w:bCs/>
        </w:rPr>
        <w:t xml:space="preserve">ьству», </w:t>
      </w:r>
      <w:r w:rsidRPr="005B3B57">
        <w:rPr>
          <w:bCs/>
        </w:rPr>
        <w:t>за Коми</w:t>
      </w:r>
      <w:r>
        <w:rPr>
          <w:bCs/>
        </w:rPr>
        <w:t xml:space="preserve">тетом по строительству (далее – </w:t>
      </w:r>
      <w:r w:rsidRPr="005B3B57">
        <w:rPr>
          <w:bCs/>
        </w:rPr>
        <w:t>Комитет) закреплено полномочие по осуществлению регионального госу</w:t>
      </w:r>
      <w:r>
        <w:rPr>
          <w:bCs/>
        </w:rPr>
        <w:t>дарственного контроля (надзора)</w:t>
      </w:r>
      <w:r>
        <w:rPr>
          <w:bCs/>
        </w:rPr>
        <w:br/>
      </w:r>
      <w:r w:rsidRPr="005B3B57">
        <w:rPr>
          <w:bCs/>
        </w:rPr>
        <w:t>в области долевого строительства многоквартирных домов и (или) иных объектов недвижимости на территории Санкт-Петербурга, а также контроля (надзора)</w:t>
      </w:r>
      <w:r w:rsidRPr="005B3B57">
        <w:rPr>
          <w:bCs/>
        </w:rPr>
        <w:br/>
        <w:t>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</w:t>
      </w:r>
      <w:r w:rsidRPr="005B3B57">
        <w:rPr>
          <w:bCs/>
        </w:rPr>
        <w:br/>
        <w:t>Санкт-Петербурга.</w:t>
      </w:r>
    </w:p>
    <w:p w:rsidR="00D155EC" w:rsidRPr="005B3B57" w:rsidRDefault="00D155EC" w:rsidP="00D155EC">
      <w:pPr>
        <w:ind w:firstLine="709"/>
      </w:pPr>
      <w:r w:rsidRPr="005B3B57">
        <w:t>Комитет осуществляет контрольную (надзорную) деятельность в соответствии</w:t>
      </w:r>
      <w:r w:rsidRPr="005B3B57">
        <w:br/>
        <w:t xml:space="preserve">с Федеральным законом </w:t>
      </w:r>
      <w:r w:rsidRPr="005B3B57">
        <w:rPr>
          <w:rFonts w:eastAsia="Calibri"/>
        </w:rPr>
        <w:t>от 30.12.2004 № 214-ФЗ «Об участии в долевом строительстве многоквартирных домов и иных объектов недвижимости и о внесении изменений</w:t>
      </w:r>
      <w:r w:rsidRPr="005B3B57">
        <w:rPr>
          <w:rFonts w:eastAsia="Calibri"/>
        </w:rPr>
        <w:br/>
        <w:t>в некоторые законодательные акты Российской Федерации» (далее – Федеральный закон</w:t>
      </w:r>
      <w:r w:rsidRPr="005B3B57">
        <w:rPr>
          <w:rFonts w:eastAsia="Calibri"/>
        </w:rPr>
        <w:br/>
        <w:t>№ 214-ФЗ)</w:t>
      </w:r>
      <w:r w:rsidRPr="005B3B57">
        <w:t>, Федеральным законом от 31.07.202</w:t>
      </w:r>
      <w:r>
        <w:t>0</w:t>
      </w:r>
      <w:r w:rsidRPr="005B3B57">
        <w:t xml:space="preserve"> № 248-ФЗ «О государственном контроле (надзоре) и муниципальном контроле в Российской Федерации», Жилищным кодексом Российской Федерации.</w:t>
      </w:r>
    </w:p>
    <w:p w:rsidR="00D155EC" w:rsidRPr="005B3B57" w:rsidRDefault="00D155EC" w:rsidP="00D155EC">
      <w:pPr>
        <w:ind w:firstLine="709"/>
      </w:pPr>
      <w:r w:rsidRPr="005B3B57">
        <w:t xml:space="preserve">Организация и порядок осуществления </w:t>
      </w:r>
      <w:r w:rsidRPr="005B3B57">
        <w:rPr>
          <w:bCs/>
        </w:rPr>
        <w:t>регионального государственного контроля (надзора) за деятельностью жилищно-строительного кооператива, связанной</w:t>
      </w:r>
      <w:r>
        <w:rPr>
          <w:bCs/>
        </w:rPr>
        <w:br/>
      </w:r>
      <w:r w:rsidRPr="005B3B57">
        <w:rPr>
          <w:bCs/>
        </w:rPr>
        <w:t>с привлечением средств членов кооператива для строительства многоквартирного дома</w:t>
      </w:r>
      <w:r>
        <w:rPr>
          <w:bCs/>
        </w:rPr>
        <w:br/>
      </w:r>
      <w:r w:rsidRPr="005B3B57">
        <w:rPr>
          <w:bCs/>
        </w:rPr>
        <w:t xml:space="preserve">на территории Санкт-Петербурга, определены </w:t>
      </w:r>
      <w:r w:rsidRPr="005B3B57">
        <w:t>постановлением Правительства</w:t>
      </w:r>
      <w:r>
        <w:br/>
      </w:r>
      <w:r w:rsidRPr="005B3B57">
        <w:t>Санкт-Петербурга от 14.12.2021 № 986 «О региональном государственном контроле (надзоре) за деятельностью жилищно-строительного кооператива, связанной</w:t>
      </w:r>
      <w:r>
        <w:br/>
      </w:r>
      <w:r w:rsidRPr="005B3B57">
        <w:t>с привлечением средств членов кооператива для строительства многоквартирного дома</w:t>
      </w:r>
      <w:r>
        <w:br/>
      </w:r>
      <w:r w:rsidRPr="005B3B57">
        <w:t>на территории Санкт-Петербурга».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3B57">
        <w:t xml:space="preserve">В 2022 на территории Санкт-Петербурга </w:t>
      </w:r>
      <w:r>
        <w:t>отсутствовали действующие</w:t>
      </w:r>
      <w:r>
        <w:br/>
      </w:r>
      <w:r w:rsidRPr="005B3B57">
        <w:t xml:space="preserve">жилищно-строительные кооперативы, осуществляющие </w:t>
      </w:r>
      <w:r w:rsidRPr="005B3B57">
        <w:rPr>
          <w:rFonts w:eastAsia="Calibri"/>
          <w:lang w:eastAsia="en-US"/>
        </w:rPr>
        <w:t>за счет средств членов кооператива строительство многоквартирного дома. В связи с этим</w:t>
      </w:r>
      <w:r>
        <w:rPr>
          <w:rFonts w:eastAsia="Calibri"/>
          <w:lang w:eastAsia="en-US"/>
        </w:rPr>
        <w:t xml:space="preserve"> </w:t>
      </w:r>
      <w:r w:rsidRPr="005B3B57">
        <w:rPr>
          <w:rFonts w:eastAsia="Calibri"/>
          <w:lang w:eastAsia="en-US"/>
        </w:rPr>
        <w:t>указанный вид регионального государственного контроля (надзора) Комитетом не осуществлялся в отчетном периоде.</w:t>
      </w:r>
    </w:p>
    <w:p w:rsidR="00D155EC" w:rsidRPr="005B3B57" w:rsidRDefault="00D155EC" w:rsidP="00D155EC">
      <w:pPr>
        <w:ind w:firstLine="709"/>
      </w:pPr>
      <w:r w:rsidRPr="005B3B57">
        <w:t xml:space="preserve">Организация и порядок осуществления </w:t>
      </w:r>
      <w:r w:rsidRPr="005B3B57">
        <w:rPr>
          <w:bCs/>
        </w:rPr>
        <w:t xml:space="preserve">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Санкт-Петербурга определены </w:t>
      </w:r>
      <w:r w:rsidRPr="005B3B57">
        <w:t xml:space="preserve">постановлением Правительства Санкт-Петербурга от 14.12.2021 № 987 «О региональном государственном контроле (надзоре) </w:t>
      </w:r>
      <w:r w:rsidRPr="005B3B57">
        <w:rPr>
          <w:bCs/>
        </w:rPr>
        <w:t xml:space="preserve">в области долевого строительства многоквартирных домов и (или) иных объектов недвижимости на территории Санкт-Петербурга». 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В соответствии с частью 3 статьи 23.5 Федерального закона № 214-ФЗ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плановые контрольные (надзорные) мероприятия не проводятся.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 xml:space="preserve">Правительством Российской Федерации было принято постановление от 10.03.2022 </w:t>
      </w:r>
      <w:r w:rsidRPr="005B3B57">
        <w:br/>
        <w:t xml:space="preserve">№ 336 «Об особенностях организации и осуществления государственного контроля (надзора), муниципального контроля» (далее – Постановление № 336). </w:t>
      </w:r>
    </w:p>
    <w:p w:rsidR="00D155EC" w:rsidRPr="005B3B57" w:rsidRDefault="00D155EC" w:rsidP="00D155EC">
      <w:pPr>
        <w:ind w:firstLine="709"/>
      </w:pPr>
      <w:r w:rsidRPr="005B3B57">
        <w:t>В соответствии с пунктом 9 Постановления № 336</w:t>
      </w:r>
      <w:r>
        <w:t>,</w:t>
      </w:r>
      <w:r w:rsidRPr="005B3B57">
        <w:t xml:space="preserve"> 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должностные лица </w:t>
      </w:r>
      <w:r w:rsidRPr="005B3B57">
        <w:lastRenderedPageBreak/>
        <w:t>контрольных (надзорных) органов вправе принять меры по привлечению виновных лиц</w:t>
      </w:r>
      <w:r w:rsidRPr="005B3B57">
        <w:br/>
        <w:t xml:space="preserve">к административной ответственности только после составления акта контрольного (надзорного) мероприятия, проведенного с взаимодействием с контролируемым лицом. </w:t>
      </w:r>
    </w:p>
    <w:p w:rsidR="00D155EC" w:rsidRPr="005B3B57" w:rsidRDefault="00D155EC" w:rsidP="00D155EC">
      <w:pPr>
        <w:ind w:firstLine="709"/>
      </w:pPr>
      <w:r w:rsidRPr="005B3B57">
        <w:t>Указанные положения распространяются, в том числе</w:t>
      </w:r>
      <w:r>
        <w:t>,</w:t>
      </w:r>
      <w:r w:rsidRPr="005B3B57">
        <w:t xml:space="preserve"> на случаи непосредственного обнаружения признаков административного правонарушения, получение таких сведений</w:t>
      </w:r>
      <w:r w:rsidRPr="005B3B57">
        <w:br/>
        <w:t>от граждан и организаций, органов государственной власти, средств массовой информации.</w:t>
      </w:r>
    </w:p>
    <w:p w:rsidR="00D155EC" w:rsidRPr="005B3B57" w:rsidRDefault="00D155EC" w:rsidP="00D155EC">
      <w:pPr>
        <w:ind w:firstLine="709"/>
        <w:contextualSpacing/>
      </w:pPr>
      <w:r w:rsidRPr="005B3B57">
        <w:t>Кроме того, Постановлением № 336 определены исключительные основания проведения в 2022 году внеплановых контрольных (надзорных) мероприятий и проверок,</w:t>
      </w:r>
      <w:r w:rsidRPr="005B3B57">
        <w:br/>
        <w:t xml:space="preserve">в числе которых – непосредственная угроза причинения вреда жизни и тяжкого вреда здоровью граждан, непосредственная угроза обороне страны и безопасности государства и непосредственная угроза возникновения чрезвычайных ситуаций природного и (или) техногенного характера. </w:t>
      </w:r>
    </w:p>
    <w:p w:rsidR="00D155EC" w:rsidRPr="005B3B57" w:rsidRDefault="00D155EC" w:rsidP="00D155EC">
      <w:pPr>
        <w:ind w:firstLine="709"/>
        <w:contextualSpacing/>
      </w:pPr>
      <w:r w:rsidRPr="005B3B57">
        <w:t xml:space="preserve">В 2022 году Комитет осуществлял региональный государственный контроль (надзор) в области долевого строительства многоквартирных домов и (или) иных объектов недвижимости на территории Санкт-Петербурга </w:t>
      </w:r>
      <w:r w:rsidRPr="005B3B57">
        <w:rPr>
          <w:bCs/>
        </w:rPr>
        <w:t xml:space="preserve">в отношении 226 застройщиков по 834 объектам недвижимости, для строительства которых привлекались денежные средства участников долевого строительства, с учетом </w:t>
      </w:r>
      <w:r w:rsidRPr="005B3B57">
        <w:t>ограничений, введенных Постановлением</w:t>
      </w:r>
      <w:r w:rsidRPr="005B3B57">
        <w:br/>
        <w:t>№ 336.</w:t>
      </w:r>
    </w:p>
    <w:p w:rsidR="00D155EC" w:rsidRPr="005B3B57" w:rsidRDefault="00D155EC" w:rsidP="00D155EC">
      <w:pPr>
        <w:ind w:firstLine="709"/>
      </w:pPr>
      <w:r w:rsidRPr="005B3B57">
        <w:t>До вступления в силу Постановления № 336 Комитетом было проведено</w:t>
      </w:r>
      <w:r w:rsidRPr="005B3B57">
        <w:br/>
        <w:t>3 внеплановых инспекционных визита.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По результатам проверок, осуществленных в конце 2021 года, а также</w:t>
      </w:r>
      <w:r w:rsidRPr="005B3B57">
        <w:br/>
        <w:t>по результатам инспекционных визитов и иных контрольных (надзорных) мероприятий, проведенных до вступления в силу Постановления № 336, Комитетом в 2022 году вынесено:</w:t>
      </w:r>
    </w:p>
    <w:p w:rsidR="00D155EC" w:rsidRPr="007468C1" w:rsidRDefault="00D155EC" w:rsidP="00D155EC">
      <w:pPr>
        <w:autoSpaceDE w:val="0"/>
        <w:autoSpaceDN w:val="0"/>
        <w:adjustRightInd w:val="0"/>
        <w:ind w:firstLine="709"/>
      </w:pPr>
      <w:r w:rsidRPr="005B3B57">
        <w:t xml:space="preserve">- 70 постановлений по делам об административных правонарушениях, из них 10 постановлений о наложении штрафа, 60 постановлений о назначении административного </w:t>
      </w:r>
      <w:r w:rsidRPr="007468C1">
        <w:t>наказания в виде предупреждения. Из общего числа постановлений:</w:t>
      </w:r>
    </w:p>
    <w:p w:rsidR="00D155EC" w:rsidRPr="007468C1" w:rsidRDefault="00D155EC" w:rsidP="00D155EC">
      <w:pPr>
        <w:autoSpaceDE w:val="0"/>
        <w:autoSpaceDN w:val="0"/>
        <w:adjustRightInd w:val="0"/>
        <w:ind w:firstLine="709"/>
      </w:pPr>
      <w:r w:rsidRPr="007468C1">
        <w:t>- 44 постановления за размещение (</w:t>
      </w:r>
      <w:proofErr w:type="spellStart"/>
      <w:r w:rsidRPr="007468C1">
        <w:t>неразмещение</w:t>
      </w:r>
      <w:proofErr w:type="spellEnd"/>
      <w:r w:rsidRPr="007468C1">
        <w:t>) проектной декларации и внесенных в нее изменений, содержащих неполные или недостоверные сведения (часть 2 статьи 14.28 Кодекса об административных правонаруше</w:t>
      </w:r>
      <w:r>
        <w:t xml:space="preserve">ниях (далее – </w:t>
      </w:r>
      <w:r w:rsidRPr="007468C1">
        <w:t>КоАП РФ));</w:t>
      </w:r>
    </w:p>
    <w:p w:rsidR="00D155EC" w:rsidRPr="007468C1" w:rsidRDefault="00D155EC" w:rsidP="00D155EC">
      <w:pPr>
        <w:autoSpaceDE w:val="0"/>
        <w:autoSpaceDN w:val="0"/>
        <w:adjustRightInd w:val="0"/>
        <w:ind w:firstLine="709"/>
      </w:pPr>
      <w:r w:rsidRPr="007468C1">
        <w:t xml:space="preserve">- 26 постановлений за нарушение сроков предоставления ежеквартальной отчетности застройщиков, указание в отчетности недостоверных сведений или представление отчетности не в полном объеме (часть 3 статьи 14.28 КоАП РФ); </w:t>
      </w:r>
    </w:p>
    <w:p w:rsidR="00D155EC" w:rsidRPr="007468C1" w:rsidRDefault="00D155EC" w:rsidP="00D155EC">
      <w:pPr>
        <w:autoSpaceDE w:val="0"/>
        <w:autoSpaceDN w:val="0"/>
        <w:adjustRightInd w:val="0"/>
        <w:ind w:firstLine="709"/>
      </w:pPr>
      <w:r w:rsidRPr="007468C1">
        <w:t>- 2 предписания об устранении нарушений законодательства в области долевого строительства на территории Санкт-Петербурга;</w:t>
      </w:r>
    </w:p>
    <w:p w:rsidR="00D155EC" w:rsidRPr="000B10D5" w:rsidRDefault="00D155EC" w:rsidP="00D155EC">
      <w:pPr>
        <w:autoSpaceDE w:val="0"/>
        <w:autoSpaceDN w:val="0"/>
        <w:adjustRightInd w:val="0"/>
        <w:ind w:firstLine="709"/>
      </w:pPr>
      <w:r w:rsidRPr="007468C1">
        <w:t>- 19 представлений об устранении причин и условий, способствовавших</w:t>
      </w:r>
      <w:r w:rsidRPr="000B10D5">
        <w:t xml:space="preserve"> совершению административного правонарушения.</w:t>
      </w:r>
    </w:p>
    <w:p w:rsidR="00D155EC" w:rsidRPr="005B3B57" w:rsidRDefault="00D155EC" w:rsidP="00D155EC">
      <w:pPr>
        <w:ind w:firstLine="709"/>
        <w:contextualSpacing/>
      </w:pPr>
      <w:r w:rsidRPr="000B10D5">
        <w:t>После вступления в силу Постановления № 336 Комитетом по требованию прокуратуры Санкт-Петербурга проведена 1 внеплановая выездная проверка.</w:t>
      </w:r>
      <w:r w:rsidRPr="005B3B57">
        <w:t xml:space="preserve"> </w:t>
      </w:r>
    </w:p>
    <w:p w:rsidR="00D155EC" w:rsidRPr="005B3B57" w:rsidRDefault="00D155EC" w:rsidP="00D155EC">
      <w:pPr>
        <w:ind w:firstLine="709"/>
        <w:rPr>
          <w:bCs/>
        </w:rPr>
      </w:pPr>
      <w:r w:rsidRPr="005B3B57">
        <w:rPr>
          <w:bCs/>
        </w:rPr>
        <w:t>Информация о проведенных Комитетом проверках и вступивших в законную силу постановлениях Комитета о привлечении застройщиков и их должностных лиц</w:t>
      </w:r>
      <w:r w:rsidRPr="005B3B57">
        <w:rPr>
          <w:bCs/>
        </w:rPr>
        <w:br/>
        <w:t>к административной ответственности размещена на официаль</w:t>
      </w:r>
      <w:r>
        <w:rPr>
          <w:bCs/>
        </w:rPr>
        <w:t>ном сайте Администрации Санкт-</w:t>
      </w:r>
      <w:r w:rsidRPr="005B3B57">
        <w:rPr>
          <w:bCs/>
        </w:rPr>
        <w:t>Петербурга http://gov.spb.ru/gov/otrasl/komstroy/dolevoe-stroitelstvo.</w:t>
      </w:r>
    </w:p>
    <w:p w:rsidR="00D155EC" w:rsidRPr="00C5644E" w:rsidRDefault="00D155EC" w:rsidP="00D155EC">
      <w:pPr>
        <w:ind w:firstLine="709"/>
        <w:rPr>
          <w:bCs/>
        </w:rPr>
      </w:pPr>
      <w:r w:rsidRPr="00C5644E">
        <w:rPr>
          <w:bCs/>
        </w:rPr>
        <w:t>По результатам проведенных за отчётный период проверок в адрес Главного Управления Министерства внутренних дел России по г. Санкт-Петербургу</w:t>
      </w:r>
      <w:r w:rsidRPr="00C5644E">
        <w:rPr>
          <w:bCs/>
        </w:rPr>
        <w:br/>
        <w:t>и Ленинградской области Комитетом направлено 1 обращение с актом проверки и иными материалами, свидетельствующими о наличии признаков уголовно-наказуемого деяния, предусмотренного частью 4 статьи 159 и статьи 160 Уголовного кодекса Российской Федерации, для организации проверки и принятия процессуального решения в порядке, установленном статьями 144 и 145 Уголовно-процессуального кодекса Российской Федерации.</w:t>
      </w:r>
    </w:p>
    <w:p w:rsidR="00D155EC" w:rsidRPr="005B3B57" w:rsidRDefault="00D155EC" w:rsidP="00D155EC">
      <w:pPr>
        <w:ind w:firstLine="709"/>
        <w:rPr>
          <w:bCs/>
        </w:rPr>
      </w:pPr>
      <w:r w:rsidRPr="00C5644E">
        <w:rPr>
          <w:bCs/>
        </w:rPr>
        <w:lastRenderedPageBreak/>
        <w:t>В прокуратуру Санкт-Петербурга Комитетом направлена копия 1 акта проверки юридического лица, а также информация о направлении в Главного Управления Министерства внутренних дел России по г. Санкт-Петербургу</w:t>
      </w:r>
      <w:r>
        <w:rPr>
          <w:bCs/>
        </w:rPr>
        <w:t xml:space="preserve"> </w:t>
      </w:r>
      <w:r w:rsidRPr="00C5644E">
        <w:rPr>
          <w:bCs/>
        </w:rPr>
        <w:t>и Ленинградской области обращения Комитета с актом проверки</w:t>
      </w:r>
      <w:r>
        <w:rPr>
          <w:bCs/>
        </w:rPr>
        <w:t xml:space="preserve"> </w:t>
      </w:r>
      <w:r w:rsidRPr="00C5644E">
        <w:rPr>
          <w:bCs/>
        </w:rPr>
        <w:t>и иными материалами, свидетельствующими</w:t>
      </w:r>
      <w:r>
        <w:rPr>
          <w:bCs/>
        </w:rPr>
        <w:br/>
      </w:r>
      <w:r w:rsidRPr="00C5644E">
        <w:rPr>
          <w:bCs/>
        </w:rPr>
        <w:t>о наличии признаков уголовно-наказуемого деяния.</w:t>
      </w:r>
    </w:p>
    <w:p w:rsidR="00D155EC" w:rsidRPr="005B3B57" w:rsidRDefault="00D155EC" w:rsidP="00D155EC">
      <w:pPr>
        <w:ind w:firstLine="709"/>
        <w:rPr>
          <w:bCs/>
        </w:rPr>
      </w:pPr>
      <w:r w:rsidRPr="005B3B57">
        <w:rPr>
          <w:bCs/>
        </w:rPr>
        <w:t>В рамках осуществления регионального контроля (надзора) Комитетом проводится анализ ежеквартальной отчетности об осуществлении деятельности, связанной</w:t>
      </w:r>
      <w:r w:rsidRPr="005B3B57">
        <w:rPr>
          <w:bCs/>
        </w:rPr>
        <w:br/>
        <w:t>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</w:t>
      </w:r>
      <w:r w:rsidRPr="005B3B57">
        <w:rPr>
          <w:bCs/>
        </w:rPr>
        <w:br/>
        <w:t>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(далее – отчетность застройщика).</w:t>
      </w:r>
    </w:p>
    <w:p w:rsidR="00D155EC" w:rsidRPr="005B3B57" w:rsidRDefault="00D155EC" w:rsidP="00D155EC">
      <w:pPr>
        <w:ind w:firstLine="709"/>
        <w:rPr>
          <w:bCs/>
        </w:rPr>
      </w:pPr>
      <w:r w:rsidRPr="005B3B57">
        <w:rPr>
          <w:bCs/>
        </w:rPr>
        <w:t>В 2022 году Комитетом проведен анализ 1 664 отчетностей застройщиков,</w:t>
      </w:r>
      <w:r w:rsidRPr="005B3B57">
        <w:rPr>
          <w:bCs/>
        </w:rPr>
        <w:br/>
        <w:t xml:space="preserve">по результатам которого выявлены следующие, наиболее часто встречающиеся нарушения требований действующего законодательства в области долевого строительства, а именно: нарушение требований оформления отчетности и заполнения ее разделов, </w:t>
      </w:r>
      <w:proofErr w:type="spellStart"/>
      <w:r w:rsidRPr="005B3B57">
        <w:rPr>
          <w:bCs/>
        </w:rPr>
        <w:t>неразмещение</w:t>
      </w:r>
      <w:proofErr w:type="spellEnd"/>
      <w:r w:rsidRPr="005B3B57">
        <w:rPr>
          <w:bCs/>
        </w:rPr>
        <w:t xml:space="preserve"> информации в </w:t>
      </w:r>
      <w:r w:rsidRPr="005B3B57">
        <w:rPr>
          <w:rStyle w:val="extended-textshort"/>
        </w:rPr>
        <w:t>Единой информационной системе жилищного строительства</w:t>
      </w:r>
      <w:r w:rsidRPr="005B3B57">
        <w:rPr>
          <w:bCs/>
        </w:rPr>
        <w:t xml:space="preserve"> или размещение с нарушением установленных сроков.</w:t>
      </w:r>
    </w:p>
    <w:p w:rsidR="00D155EC" w:rsidRPr="005B3B57" w:rsidRDefault="00D155EC" w:rsidP="00D155EC">
      <w:pPr>
        <w:ind w:firstLine="709"/>
        <w:contextualSpacing/>
      </w:pPr>
      <w:r w:rsidRPr="005B3B57">
        <w:t>Комитет в 2022 осуществлял профилактические мероприятия в соответствии</w:t>
      </w:r>
      <w:r w:rsidRPr="005B3B57">
        <w:br/>
        <w:t>с Программой профилактики рисков причинения вреда (ущерба) охраняемым законом ценностям при осуществлении регионального государственного контроля (надзора)</w:t>
      </w:r>
      <w:r w:rsidRPr="005B3B57">
        <w:br/>
        <w:t>в области долевого строительства многоквартирных домов и (или) иных объектов недвижимости на территории Санкт-Петербурга на 2022 год.</w:t>
      </w:r>
    </w:p>
    <w:p w:rsidR="00D155EC" w:rsidRPr="005B3B57" w:rsidRDefault="00D155EC" w:rsidP="00D155EC">
      <w:pPr>
        <w:ind w:firstLine="709"/>
        <w:contextualSpacing/>
      </w:pPr>
      <w:r w:rsidRPr="005B3B57">
        <w:t>Информация о контрольно-надзорной деятельности размещается и актуализируется Комитетом в соответствии с постановлением Правительства Санкт-Петербурга</w:t>
      </w:r>
      <w:r w:rsidRPr="005B3B57">
        <w:br/>
        <w:t>от 29.06.2011 № 864 «О мерах по реализации Закона Санкт-Петербурга «Об обеспечении доступа к информации о деятельности государственных органов Санкт-Петербурга».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Комитетом на постоянной основе проводится консультирование контролируемых лиц по вопросам осуществления профилактических визитов, заполнени</w:t>
      </w:r>
      <w:r>
        <w:t>я</w:t>
      </w:r>
      <w:r w:rsidRPr="005B3B57">
        <w:t xml:space="preserve"> отчетности застройщика, проектной декларации, размещени</w:t>
      </w:r>
      <w:r>
        <w:t>я</w:t>
      </w:r>
      <w:r w:rsidRPr="005B3B57">
        <w:t xml:space="preserve"> сведений в единой информационной системе жилищного строительства, определения контролируемыми лицами уровня соблюдения ими обязательных требований и подготовке Декларации соблюдения обязательных требований по региональному государственному контролю (надзору)</w:t>
      </w:r>
      <w:r w:rsidRPr="005B3B57">
        <w:br/>
        <w:t>в области долевого строительства многоквартирных домов и (или) иных объектов недвижимости на территории Санкт-Петербурга. По состоянию</w:t>
      </w:r>
      <w:r>
        <w:t xml:space="preserve"> </w:t>
      </w:r>
      <w:r w:rsidRPr="005B3B57">
        <w:t xml:space="preserve">на 31.12.2022 сотрудниками Комитета проведено 572 консультаций. 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 xml:space="preserve">С целью активизации работы по вовлечению контролируемых лиц в проект «Самообследование» Комитетом 14.06.2022 в адрес контролируемых лиц – застройщиков направлены информационные письма. 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На текущий момент на портале Санкт-Петербургского государственного бюджетного учреждения «Центр развития и поддержки предпринимательства</w:t>
      </w:r>
      <w:r w:rsidRPr="005B3B57">
        <w:br/>
        <w:t>Санкт-Петербурга» (далее – СПб ГБУ «ЦРПП») в информационно-телекоммуникационной сети «Интернет» через личный кабинет контролируемых лиц в Комитет поступило 18 деклараций соблюдения обязательных требований по региональному государственному контролю (надзору) в области долевого строительства многоквартирных домов и (или) иных объектов недвижимости на территории Санкт-Петербурга (далее – Декларация).</w:t>
      </w:r>
      <w:r w:rsidRPr="005B3B57">
        <w:br/>
        <w:t>По результатам рассмотрения на 31.12.2022: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- 13 Деклараций находятся в статусе «одобрено»;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- 5 Деклараций находятся в статусе «отказано».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Кроме того, при проведении Комитетом обязательных профилактических визитов контролируемые лица письменно информируются о возможности прохождения на сайте</w:t>
      </w:r>
      <w:r w:rsidRPr="005B3B57">
        <w:br/>
      </w:r>
      <w:r w:rsidRPr="005B3B57">
        <w:lastRenderedPageBreak/>
        <w:t>СПб ГБУ «ЦРПП» добровольного определения уровня соблюдения ими обязательных требований (самообследование).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За 2022 год Комитетом проведен 51 профилактический визит, из них 48 обязательных в отношении контролируемых лиц, приступающих к осуществлению деятельности, являющейся объектом регионального контроля (надзора).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В 2022 году Комитетом было объявлено 19 предостережений контролируемым лицам о недопустимости нарушения обязательных требований.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С целью предотвращения нарушений, совершаемых контролируемыми лицами</w:t>
      </w:r>
      <w:r w:rsidRPr="005B3B57">
        <w:br/>
        <w:t>и их должностными лицами, Комитет на постоянной основе принимает участие</w:t>
      </w:r>
      <w:r w:rsidRPr="005B3B57">
        <w:br/>
        <w:t>в проведении совместных с другими органами исполнительной власти публичных обсуждениях результатов правоприменительной практики контрольно-надзорной деятельности.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Ежегодно, по итогам обобщения правоприменительной практики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недвижимости, в том числе с указанием наиболее часто встречающихся случаев нарушений обязательных требований</w:t>
      </w:r>
      <w:r w:rsidRPr="005B3B57">
        <w:br/>
        <w:t>с рекомендациями в отношении мер, которые должны приниматься юридическими лицами в целях недопущения таких нарушений, Комитетом подготавливается и размещается</w:t>
      </w:r>
      <w:r w:rsidRPr="005B3B57">
        <w:br/>
        <w:t>на официальной странице Комитета не позднее 20 февраля года, следующего за отчетным, Доклад о правоприменительной практике.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Доклад Комитета о правоприменительной практике контрольно-надзорной деятельности за 2021 год размещен на официальной странице Комитета.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 w:rsidRPr="005B3B57">
        <w:t>По результатам проведенных Комитетом контрольн</w:t>
      </w:r>
      <w:r>
        <w:t>ых (</w:t>
      </w:r>
      <w:r w:rsidRPr="005B3B57">
        <w:t>надзорных</w:t>
      </w:r>
      <w:r>
        <w:t>)</w:t>
      </w:r>
      <w:r>
        <w:br/>
      </w:r>
      <w:r w:rsidRPr="005B3B57">
        <w:t>и профилактических мероприятий за 2022 год выявлены следующие, наиболее часто встречающиеся, нарушения действующего законодательства в области долевого строительства: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>
        <w:t>- </w:t>
      </w:r>
      <w:r w:rsidRPr="005B3B57">
        <w:t>нарушение обязательных требований при составлении и предоставлении ежеквартальной отчетности застройщиков;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>
        <w:t>- </w:t>
      </w:r>
      <w:r w:rsidRPr="005B3B57">
        <w:t>нарушение срока уведомления участников долевого строительства</w:t>
      </w:r>
      <w:r w:rsidRPr="005B3B57">
        <w:br/>
        <w:t xml:space="preserve">о невозможности завершения строительства в установленный договором участия </w:t>
      </w:r>
      <w:r>
        <w:t xml:space="preserve">в </w:t>
      </w:r>
      <w:r w:rsidRPr="005B3B57">
        <w:t>долево</w:t>
      </w:r>
      <w:r>
        <w:t>м</w:t>
      </w:r>
      <w:r w:rsidRPr="005B3B57">
        <w:t xml:space="preserve"> строительств</w:t>
      </w:r>
      <w:r>
        <w:t>е</w:t>
      </w:r>
      <w:r w:rsidRPr="005B3B57">
        <w:t xml:space="preserve"> срок;</w:t>
      </w:r>
    </w:p>
    <w:p w:rsidR="00D155EC" w:rsidRPr="005B3B57" w:rsidRDefault="00D155EC" w:rsidP="00D155EC">
      <w:pPr>
        <w:autoSpaceDE w:val="0"/>
        <w:autoSpaceDN w:val="0"/>
        <w:adjustRightInd w:val="0"/>
        <w:ind w:firstLine="709"/>
      </w:pPr>
      <w:r>
        <w:t>- </w:t>
      </w:r>
      <w:r w:rsidRPr="005B3B57">
        <w:t xml:space="preserve">размещение контролируемыми лицами на сайте единой информационной системы жилищного строительства по адресу: </w:t>
      </w:r>
      <w:hyperlink r:id="rId8" w:history="1">
        <w:r w:rsidRPr="005B3B57">
          <w:t>https://наш.дом.рф/</w:t>
        </w:r>
      </w:hyperlink>
      <w:r w:rsidRPr="005B3B57">
        <w:t xml:space="preserve"> проектной декларации (в том числе вносимых в нее изменений), содержащей неполную и (или) недостоверную информацию, несоблюдение контролируемыми лицами сроков опубликования и (или) размещения проектной декларации, либо вносимых в нее изменений, установленных Федеральным законом № 214-ФЗ.</w:t>
      </w:r>
    </w:p>
    <w:p w:rsidR="00D155EC" w:rsidRPr="005B3B57" w:rsidRDefault="00D155EC" w:rsidP="00D155EC">
      <w:pPr>
        <w:ind w:firstLine="709"/>
        <w:rPr>
          <w:bCs/>
        </w:rPr>
      </w:pPr>
      <w:r w:rsidRPr="005B3B57">
        <w:rPr>
          <w:bCs/>
        </w:rPr>
        <w:t>В целях недопущения нарушений законодательства о долевом строительстве застройщикам, привлекающим денежные средства участников долевого строительства для строительства объектов недвижимости, необходимо:</w:t>
      </w:r>
    </w:p>
    <w:p w:rsidR="00D155EC" w:rsidRPr="005B3B57" w:rsidRDefault="00D155EC" w:rsidP="00D155EC">
      <w:pPr>
        <w:ind w:firstLine="709"/>
        <w:rPr>
          <w:bCs/>
        </w:rPr>
      </w:pPr>
      <w:r>
        <w:rPr>
          <w:bCs/>
        </w:rPr>
        <w:t>- </w:t>
      </w:r>
      <w:r w:rsidRPr="005B3B57">
        <w:rPr>
          <w:bCs/>
        </w:rPr>
        <w:t xml:space="preserve">не допускать нарушения порядка, состава, способов, сроков и периодичности размещения информации, обязательное размещение которой предусмотрено законодательством Российской Федерации; </w:t>
      </w:r>
    </w:p>
    <w:p w:rsidR="00D155EC" w:rsidRPr="005B3B57" w:rsidRDefault="00D155EC" w:rsidP="00D155EC">
      <w:pPr>
        <w:ind w:firstLine="709"/>
        <w:rPr>
          <w:bCs/>
        </w:rPr>
      </w:pPr>
      <w:r>
        <w:rPr>
          <w:bCs/>
        </w:rPr>
        <w:t>- </w:t>
      </w:r>
      <w:r w:rsidRPr="005B3B57">
        <w:rPr>
          <w:bCs/>
        </w:rPr>
        <w:t>обеспечивать отражение в проектной декларации (в том числе, и во вносимых</w:t>
      </w:r>
      <w:r w:rsidRPr="005B3B57">
        <w:rPr>
          <w:bCs/>
        </w:rPr>
        <w:br/>
        <w:t>в нее изменени</w:t>
      </w:r>
      <w:r>
        <w:rPr>
          <w:bCs/>
        </w:rPr>
        <w:t>ях</w:t>
      </w:r>
      <w:r w:rsidRPr="005B3B57">
        <w:rPr>
          <w:bCs/>
        </w:rPr>
        <w:t>) полной и (или) достоверной информации, размещение которой предусмотрено законодательством об участии в долевом строительстве многоквартирных домов и (или) иных объектов недвижимости;</w:t>
      </w:r>
    </w:p>
    <w:p w:rsidR="00D155EC" w:rsidRPr="005B3B57" w:rsidRDefault="00D155EC" w:rsidP="00D155EC">
      <w:pPr>
        <w:ind w:firstLine="709"/>
        <w:rPr>
          <w:bCs/>
        </w:rPr>
      </w:pPr>
      <w:r w:rsidRPr="005B3B57">
        <w:rPr>
          <w:bCs/>
        </w:rPr>
        <w:t>-</w:t>
      </w:r>
      <w:r>
        <w:rPr>
          <w:bCs/>
        </w:rPr>
        <w:t> </w:t>
      </w:r>
      <w:r w:rsidRPr="005B3B57">
        <w:rPr>
          <w:bCs/>
        </w:rPr>
        <w:t>соблюдать сроки направления участникам долевого строительства уведомлений</w:t>
      </w:r>
      <w:r w:rsidRPr="005B3B57">
        <w:rPr>
          <w:bCs/>
        </w:rPr>
        <w:br/>
        <w:t>о невозможности завершения строительства в предусмотренный договором участия</w:t>
      </w:r>
      <w:r w:rsidRPr="005B3B57">
        <w:rPr>
          <w:bCs/>
        </w:rPr>
        <w:br/>
        <w:t>в долевом строительстве срок с предложением об изменении договора участникам долевого строительства объекта;</w:t>
      </w:r>
    </w:p>
    <w:p w:rsidR="00D155EC" w:rsidRPr="005B3B57" w:rsidRDefault="00D155EC" w:rsidP="00D155EC">
      <w:pPr>
        <w:ind w:firstLine="709"/>
        <w:rPr>
          <w:bCs/>
        </w:rPr>
      </w:pPr>
      <w:r>
        <w:rPr>
          <w:bCs/>
        </w:rPr>
        <w:lastRenderedPageBreak/>
        <w:t>- </w:t>
      </w:r>
      <w:r w:rsidRPr="005B3B57">
        <w:rPr>
          <w:bCs/>
        </w:rPr>
        <w:t>указывать в ежеквартальной отчетности застройщика достоверные сведения</w:t>
      </w:r>
      <w:r w:rsidRPr="005B3B57">
        <w:rPr>
          <w:bCs/>
        </w:rPr>
        <w:br/>
        <w:t>в полном объеме;</w:t>
      </w:r>
    </w:p>
    <w:p w:rsidR="00D155EC" w:rsidRPr="005B3B57" w:rsidRDefault="00D155EC" w:rsidP="00D155EC">
      <w:pPr>
        <w:ind w:firstLine="709"/>
        <w:rPr>
          <w:b/>
        </w:rPr>
      </w:pPr>
      <w:r w:rsidRPr="005B3B57">
        <w:rPr>
          <w:bCs/>
        </w:rPr>
        <w:t>-</w:t>
      </w:r>
      <w:r>
        <w:rPr>
          <w:bCs/>
        </w:rPr>
        <w:t> </w:t>
      </w:r>
      <w:r w:rsidRPr="005B3B57">
        <w:rPr>
          <w:bCs/>
        </w:rPr>
        <w:t xml:space="preserve">своевременно устранять нарушения, выявленные Комитетом в рамках осуществления государственного контроля (надзора) и отраженные в выданных застройщикам предписаниях, представлениях, предупреждениях.  </w:t>
      </w:r>
    </w:p>
    <w:p w:rsidR="00D155EC" w:rsidRPr="005B3B57" w:rsidRDefault="00D155EC" w:rsidP="00D155EC">
      <w:pPr>
        <w:tabs>
          <w:tab w:val="left" w:pos="-1701"/>
        </w:tabs>
        <w:ind w:firstLine="709"/>
      </w:pPr>
    </w:p>
    <w:p w:rsidR="00D155EC" w:rsidRDefault="00D155EC" w:rsidP="00D155EC"/>
    <w:p w:rsidR="00FC6941" w:rsidRDefault="00FC6941" w:rsidP="00D155EC">
      <w:pPr>
        <w:ind w:firstLine="709"/>
        <w:rPr>
          <w:bCs/>
          <w:sz w:val="28"/>
          <w:szCs w:val="28"/>
        </w:rPr>
      </w:pPr>
    </w:p>
    <w:sectPr w:rsidR="00FC6941" w:rsidSect="00966226">
      <w:headerReference w:type="even" r:id="rId9"/>
      <w:headerReference w:type="default" r:id="rId10"/>
      <w:pgSz w:w="11906" w:h="16838"/>
      <w:pgMar w:top="1134" w:right="70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9A" w:rsidRDefault="0015529A">
      <w:r>
        <w:separator/>
      </w:r>
    </w:p>
  </w:endnote>
  <w:endnote w:type="continuationSeparator" w:id="0">
    <w:p w:rsidR="0015529A" w:rsidRDefault="0015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9A" w:rsidRDefault="0015529A">
      <w:r>
        <w:separator/>
      </w:r>
    </w:p>
  </w:footnote>
  <w:footnote w:type="continuationSeparator" w:id="0">
    <w:p w:rsidR="0015529A" w:rsidRDefault="0015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DA" w:rsidRDefault="00584C02" w:rsidP="00AA67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2DDA" w:rsidRDefault="00712E96" w:rsidP="00777F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393585"/>
      <w:docPartObj>
        <w:docPartGallery w:val="Page Numbers (Top of Page)"/>
        <w:docPartUnique/>
      </w:docPartObj>
    </w:sdtPr>
    <w:sdtEndPr/>
    <w:sdtContent>
      <w:p w:rsidR="00DB0778" w:rsidRDefault="00584C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5EC">
          <w:rPr>
            <w:noProof/>
          </w:rPr>
          <w:t>2</w:t>
        </w:r>
        <w:r>
          <w:fldChar w:fldCharType="end"/>
        </w:r>
      </w:p>
    </w:sdtContent>
  </w:sdt>
  <w:p w:rsidR="00122DDA" w:rsidRDefault="00712E96" w:rsidP="00777F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1F04"/>
    <w:multiLevelType w:val="hybridMultilevel"/>
    <w:tmpl w:val="2070E234"/>
    <w:lvl w:ilvl="0" w:tplc="4DAE6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D6451F"/>
    <w:multiLevelType w:val="hybridMultilevel"/>
    <w:tmpl w:val="7D2A2F72"/>
    <w:lvl w:ilvl="0" w:tplc="F51A93C6">
      <w:start w:val="4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5C"/>
    <w:rsid w:val="00010B5F"/>
    <w:rsid w:val="000204B6"/>
    <w:rsid w:val="00030EBF"/>
    <w:rsid w:val="0004116D"/>
    <w:rsid w:val="00054A04"/>
    <w:rsid w:val="00067609"/>
    <w:rsid w:val="00074DBE"/>
    <w:rsid w:val="00084A91"/>
    <w:rsid w:val="000A04EB"/>
    <w:rsid w:val="000A6A8B"/>
    <w:rsid w:val="000C2ED8"/>
    <w:rsid w:val="000C4434"/>
    <w:rsid w:val="000C7013"/>
    <w:rsid w:val="000E6F74"/>
    <w:rsid w:val="0011730E"/>
    <w:rsid w:val="00142D01"/>
    <w:rsid w:val="0015529A"/>
    <w:rsid w:val="001661AF"/>
    <w:rsid w:val="001721FB"/>
    <w:rsid w:val="001734FE"/>
    <w:rsid w:val="00190A29"/>
    <w:rsid w:val="001A1137"/>
    <w:rsid w:val="001B16DD"/>
    <w:rsid w:val="001C6AE5"/>
    <w:rsid w:val="001F21FA"/>
    <w:rsid w:val="0020489D"/>
    <w:rsid w:val="00207751"/>
    <w:rsid w:val="00221D09"/>
    <w:rsid w:val="00227CEC"/>
    <w:rsid w:val="00246168"/>
    <w:rsid w:val="002554BA"/>
    <w:rsid w:val="00257FAD"/>
    <w:rsid w:val="002647CF"/>
    <w:rsid w:val="002755B9"/>
    <w:rsid w:val="00293E3B"/>
    <w:rsid w:val="002B60C8"/>
    <w:rsid w:val="002B72F0"/>
    <w:rsid w:val="002D136E"/>
    <w:rsid w:val="002E2430"/>
    <w:rsid w:val="002E61C5"/>
    <w:rsid w:val="002F79ED"/>
    <w:rsid w:val="00301244"/>
    <w:rsid w:val="00301324"/>
    <w:rsid w:val="00305A60"/>
    <w:rsid w:val="0031236C"/>
    <w:rsid w:val="00314E2A"/>
    <w:rsid w:val="00322CA1"/>
    <w:rsid w:val="003477AC"/>
    <w:rsid w:val="0035615B"/>
    <w:rsid w:val="003623F5"/>
    <w:rsid w:val="00364B1D"/>
    <w:rsid w:val="00365730"/>
    <w:rsid w:val="00367632"/>
    <w:rsid w:val="0037090E"/>
    <w:rsid w:val="00371B71"/>
    <w:rsid w:val="0037623A"/>
    <w:rsid w:val="003924A3"/>
    <w:rsid w:val="00397EFA"/>
    <w:rsid w:val="003A0926"/>
    <w:rsid w:val="003A19C0"/>
    <w:rsid w:val="003B6172"/>
    <w:rsid w:val="003B7B4D"/>
    <w:rsid w:val="003C3AA6"/>
    <w:rsid w:val="003C472F"/>
    <w:rsid w:val="003C4C3C"/>
    <w:rsid w:val="003D45DC"/>
    <w:rsid w:val="003F0FCC"/>
    <w:rsid w:val="00401C1D"/>
    <w:rsid w:val="00404E33"/>
    <w:rsid w:val="0041628C"/>
    <w:rsid w:val="0042034D"/>
    <w:rsid w:val="004417D9"/>
    <w:rsid w:val="00443AE7"/>
    <w:rsid w:val="00462767"/>
    <w:rsid w:val="004672C0"/>
    <w:rsid w:val="0047229B"/>
    <w:rsid w:val="0047392F"/>
    <w:rsid w:val="004868FD"/>
    <w:rsid w:val="00491076"/>
    <w:rsid w:val="00493749"/>
    <w:rsid w:val="00495494"/>
    <w:rsid w:val="004A1AC6"/>
    <w:rsid w:val="004A5D71"/>
    <w:rsid w:val="004A60AE"/>
    <w:rsid w:val="004A7390"/>
    <w:rsid w:val="004E342C"/>
    <w:rsid w:val="004E73D6"/>
    <w:rsid w:val="004F4654"/>
    <w:rsid w:val="00507227"/>
    <w:rsid w:val="005130A0"/>
    <w:rsid w:val="00530686"/>
    <w:rsid w:val="00532B3E"/>
    <w:rsid w:val="00540FE1"/>
    <w:rsid w:val="00560323"/>
    <w:rsid w:val="00570106"/>
    <w:rsid w:val="0057014D"/>
    <w:rsid w:val="00584C02"/>
    <w:rsid w:val="005908E9"/>
    <w:rsid w:val="005A4A5C"/>
    <w:rsid w:val="005C4553"/>
    <w:rsid w:val="005D2C26"/>
    <w:rsid w:val="005F11ED"/>
    <w:rsid w:val="005F485A"/>
    <w:rsid w:val="00631E8B"/>
    <w:rsid w:val="00645B1C"/>
    <w:rsid w:val="00664716"/>
    <w:rsid w:val="006739C8"/>
    <w:rsid w:val="006766D7"/>
    <w:rsid w:val="00680A97"/>
    <w:rsid w:val="006C0B10"/>
    <w:rsid w:val="006C26B4"/>
    <w:rsid w:val="006D1BFE"/>
    <w:rsid w:val="006D40EF"/>
    <w:rsid w:val="006E4EB7"/>
    <w:rsid w:val="006E6440"/>
    <w:rsid w:val="006F5C22"/>
    <w:rsid w:val="007108D8"/>
    <w:rsid w:val="00712944"/>
    <w:rsid w:val="00712BF3"/>
    <w:rsid w:val="00712E96"/>
    <w:rsid w:val="007133E3"/>
    <w:rsid w:val="00717D24"/>
    <w:rsid w:val="00724C6D"/>
    <w:rsid w:val="00735AC9"/>
    <w:rsid w:val="007373C1"/>
    <w:rsid w:val="00737670"/>
    <w:rsid w:val="00740959"/>
    <w:rsid w:val="00744B00"/>
    <w:rsid w:val="00756AC9"/>
    <w:rsid w:val="00757BE3"/>
    <w:rsid w:val="00766A66"/>
    <w:rsid w:val="00785287"/>
    <w:rsid w:val="00786678"/>
    <w:rsid w:val="00793B17"/>
    <w:rsid w:val="007A153F"/>
    <w:rsid w:val="007B029E"/>
    <w:rsid w:val="007C181C"/>
    <w:rsid w:val="007C7789"/>
    <w:rsid w:val="007D3CD8"/>
    <w:rsid w:val="007D6CCB"/>
    <w:rsid w:val="007E3006"/>
    <w:rsid w:val="007E71BE"/>
    <w:rsid w:val="007F232F"/>
    <w:rsid w:val="00807CD0"/>
    <w:rsid w:val="00816092"/>
    <w:rsid w:val="008201BF"/>
    <w:rsid w:val="008201EB"/>
    <w:rsid w:val="00841CC8"/>
    <w:rsid w:val="00857FDC"/>
    <w:rsid w:val="00860E02"/>
    <w:rsid w:val="00864B44"/>
    <w:rsid w:val="008729DF"/>
    <w:rsid w:val="00881EE3"/>
    <w:rsid w:val="00892335"/>
    <w:rsid w:val="008A13C4"/>
    <w:rsid w:val="008B5B9C"/>
    <w:rsid w:val="008C62D6"/>
    <w:rsid w:val="008C7882"/>
    <w:rsid w:val="008D16C8"/>
    <w:rsid w:val="008D4969"/>
    <w:rsid w:val="008E3AE3"/>
    <w:rsid w:val="008F1DFF"/>
    <w:rsid w:val="00901771"/>
    <w:rsid w:val="0092731A"/>
    <w:rsid w:val="009305B5"/>
    <w:rsid w:val="00937276"/>
    <w:rsid w:val="00937BB2"/>
    <w:rsid w:val="00941E68"/>
    <w:rsid w:val="00947C36"/>
    <w:rsid w:val="00960277"/>
    <w:rsid w:val="00964AED"/>
    <w:rsid w:val="00965A3B"/>
    <w:rsid w:val="00966226"/>
    <w:rsid w:val="00973F8A"/>
    <w:rsid w:val="009C3C3C"/>
    <w:rsid w:val="009F37EA"/>
    <w:rsid w:val="009F4DA2"/>
    <w:rsid w:val="00A0513C"/>
    <w:rsid w:val="00A26630"/>
    <w:rsid w:val="00A310C9"/>
    <w:rsid w:val="00A37D85"/>
    <w:rsid w:val="00A4295A"/>
    <w:rsid w:val="00A4342D"/>
    <w:rsid w:val="00A4754D"/>
    <w:rsid w:val="00A53538"/>
    <w:rsid w:val="00A54E6C"/>
    <w:rsid w:val="00A570D0"/>
    <w:rsid w:val="00A57DD8"/>
    <w:rsid w:val="00A60E4B"/>
    <w:rsid w:val="00A61E95"/>
    <w:rsid w:val="00A75D8A"/>
    <w:rsid w:val="00A9609B"/>
    <w:rsid w:val="00AB4D37"/>
    <w:rsid w:val="00AB7109"/>
    <w:rsid w:val="00AC4A85"/>
    <w:rsid w:val="00AD2BD5"/>
    <w:rsid w:val="00AD2FB5"/>
    <w:rsid w:val="00AD3F91"/>
    <w:rsid w:val="00AD40C5"/>
    <w:rsid w:val="00AD6D96"/>
    <w:rsid w:val="00AE3BDE"/>
    <w:rsid w:val="00AE3C55"/>
    <w:rsid w:val="00AE492B"/>
    <w:rsid w:val="00B12998"/>
    <w:rsid w:val="00B20227"/>
    <w:rsid w:val="00B22286"/>
    <w:rsid w:val="00B239A6"/>
    <w:rsid w:val="00B3026B"/>
    <w:rsid w:val="00B3484C"/>
    <w:rsid w:val="00B67737"/>
    <w:rsid w:val="00B806AD"/>
    <w:rsid w:val="00B80AD2"/>
    <w:rsid w:val="00B8222B"/>
    <w:rsid w:val="00B84D24"/>
    <w:rsid w:val="00BA1B5C"/>
    <w:rsid w:val="00BB0774"/>
    <w:rsid w:val="00BB6F80"/>
    <w:rsid w:val="00BC60B2"/>
    <w:rsid w:val="00BD6A69"/>
    <w:rsid w:val="00BD7727"/>
    <w:rsid w:val="00BE6464"/>
    <w:rsid w:val="00C04D55"/>
    <w:rsid w:val="00C16905"/>
    <w:rsid w:val="00C51548"/>
    <w:rsid w:val="00C56526"/>
    <w:rsid w:val="00C806A5"/>
    <w:rsid w:val="00C94CE5"/>
    <w:rsid w:val="00C97CCD"/>
    <w:rsid w:val="00CA735B"/>
    <w:rsid w:val="00CB5469"/>
    <w:rsid w:val="00CE7D76"/>
    <w:rsid w:val="00CF4DCD"/>
    <w:rsid w:val="00D13307"/>
    <w:rsid w:val="00D155EC"/>
    <w:rsid w:val="00D239D0"/>
    <w:rsid w:val="00D2486E"/>
    <w:rsid w:val="00D268D9"/>
    <w:rsid w:val="00D315BA"/>
    <w:rsid w:val="00D45D0D"/>
    <w:rsid w:val="00D471CC"/>
    <w:rsid w:val="00D64405"/>
    <w:rsid w:val="00D704E5"/>
    <w:rsid w:val="00D86B01"/>
    <w:rsid w:val="00D97AC3"/>
    <w:rsid w:val="00DA0E4D"/>
    <w:rsid w:val="00DB2E23"/>
    <w:rsid w:val="00DB7DFD"/>
    <w:rsid w:val="00DD60B3"/>
    <w:rsid w:val="00DE38B8"/>
    <w:rsid w:val="00DE391B"/>
    <w:rsid w:val="00DF3770"/>
    <w:rsid w:val="00E049D3"/>
    <w:rsid w:val="00E11E0D"/>
    <w:rsid w:val="00E2419D"/>
    <w:rsid w:val="00E3470E"/>
    <w:rsid w:val="00E35F68"/>
    <w:rsid w:val="00E45DD2"/>
    <w:rsid w:val="00E471BE"/>
    <w:rsid w:val="00E62F77"/>
    <w:rsid w:val="00E65690"/>
    <w:rsid w:val="00E84D49"/>
    <w:rsid w:val="00E968D5"/>
    <w:rsid w:val="00EA280E"/>
    <w:rsid w:val="00EE262D"/>
    <w:rsid w:val="00EE3C1E"/>
    <w:rsid w:val="00EE682D"/>
    <w:rsid w:val="00EF1015"/>
    <w:rsid w:val="00EF2CAE"/>
    <w:rsid w:val="00F05518"/>
    <w:rsid w:val="00F05C21"/>
    <w:rsid w:val="00F05DA8"/>
    <w:rsid w:val="00F21253"/>
    <w:rsid w:val="00F26E01"/>
    <w:rsid w:val="00F33675"/>
    <w:rsid w:val="00F42085"/>
    <w:rsid w:val="00F42094"/>
    <w:rsid w:val="00F67364"/>
    <w:rsid w:val="00F67A0F"/>
    <w:rsid w:val="00F74B50"/>
    <w:rsid w:val="00F83A7D"/>
    <w:rsid w:val="00FA1737"/>
    <w:rsid w:val="00FB7844"/>
    <w:rsid w:val="00FC6941"/>
    <w:rsid w:val="00FD0FC8"/>
    <w:rsid w:val="00FD2AE4"/>
    <w:rsid w:val="00FE061C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EF918-6A76-4C6D-A76E-0CD488B2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A5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A4A5C"/>
    <w:pPr>
      <w:keepNext/>
      <w:overflowPunct w:val="0"/>
      <w:autoSpaceDE w:val="0"/>
      <w:autoSpaceDN w:val="0"/>
      <w:adjustRightInd w:val="0"/>
      <w:jc w:val="center"/>
      <w:outlineLvl w:val="3"/>
    </w:pPr>
    <w:rPr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4A5C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5A4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4A5C"/>
  </w:style>
  <w:style w:type="paragraph" w:styleId="a6">
    <w:name w:val="List Paragraph"/>
    <w:basedOn w:val="a"/>
    <w:uiPriority w:val="34"/>
    <w:qFormat/>
    <w:rsid w:val="005A4A5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34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4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2E61C5"/>
    <w:rPr>
      <w:color w:val="0000FF"/>
      <w:u w:val="single"/>
    </w:rPr>
  </w:style>
  <w:style w:type="character" w:customStyle="1" w:styleId="extended-textshort">
    <w:name w:val="extended-text__short"/>
    <w:rsid w:val="002E61C5"/>
  </w:style>
  <w:style w:type="paragraph" w:styleId="aa">
    <w:name w:val="footer"/>
    <w:basedOn w:val="a"/>
    <w:link w:val="ab"/>
    <w:rsid w:val="003D45DC"/>
    <w:pPr>
      <w:tabs>
        <w:tab w:val="center" w:pos="4819"/>
        <w:tab w:val="right" w:pos="9071"/>
      </w:tabs>
      <w:ind w:firstLine="0"/>
      <w:jc w:val="left"/>
    </w:pPr>
    <w:rPr>
      <w:rFonts w:ascii="Baltica" w:hAnsi="Baltica"/>
      <w:szCs w:val="20"/>
    </w:rPr>
  </w:style>
  <w:style w:type="character" w:customStyle="1" w:styleId="ab">
    <w:name w:val="Нижний колонтитул Знак"/>
    <w:basedOn w:val="a0"/>
    <w:link w:val="aa"/>
    <w:rsid w:val="003D45DC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FORMATTEXT">
    <w:name w:val=".FORMATTEXT"/>
    <w:rsid w:val="003D4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0DF2-D0DC-43AA-8799-26380F93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2142</Words>
  <Characters>12210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Никольская</dc:creator>
  <cp:lastModifiedBy>Анастасия Ляшенко</cp:lastModifiedBy>
  <cp:revision>2</cp:revision>
  <cp:lastPrinted>2023-01-17T12:29:00Z</cp:lastPrinted>
  <dcterms:created xsi:type="dcterms:W3CDTF">2023-01-26T14:46:00Z</dcterms:created>
  <dcterms:modified xsi:type="dcterms:W3CDTF">2023-01-26T14:46:00Z</dcterms:modified>
</cp:coreProperties>
</file>