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4D" w:rsidRDefault="0087504D"/>
    <w:p w:rsidR="0087504D" w:rsidRDefault="00685926">
      <w:pPr>
        <w:widowControl w:val="0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4pt;margin-top:7.45pt;width:54pt;height:49.05pt;z-index:251657728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w10:wrap type="topAndBottom"/>
          </v:shape>
          <o:OLEObject Type="Embed" ProgID="Imaging.Document" ShapeID="_x0000_s1026" DrawAspect="Content" ObjectID="_1774086654" r:id="rId8"/>
        </w:object>
      </w:r>
    </w:p>
    <w:p w:rsidR="0087504D" w:rsidRDefault="0087504D">
      <w:pPr>
        <w:widowControl w:val="0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504D" w:rsidRDefault="00685926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Par1"/>
      <w:bookmarkEnd w:id="0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ПРАВИТЕЛЬСТВО САНКТ-ПЕТЕРБУРГА</w:t>
      </w:r>
    </w:p>
    <w:p w:rsidR="0087504D" w:rsidRDefault="0087504D">
      <w:pPr>
        <w:widowControl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504D" w:rsidRDefault="00685926">
      <w:pPr>
        <w:widowControl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87504D" w:rsidRDefault="0087504D">
      <w:pPr>
        <w:widowControl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504D" w:rsidRDefault="00685926">
      <w:pPr>
        <w:widowControl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№ _____________</w:t>
      </w:r>
    </w:p>
    <w:p w:rsidR="0087504D" w:rsidRDefault="0087504D">
      <w:pPr>
        <w:widowControl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7504D" w:rsidRDefault="00685926">
      <w:pPr>
        <w:widowControl w:val="0"/>
        <w:spacing w:line="259" w:lineRule="auto"/>
        <w:ind w:right="481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внесении изменений в постановление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 xml:space="preserve">Правительства Санкт-Петербурга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от 14.11.2017 № 936</w:t>
      </w:r>
    </w:p>
    <w:p w:rsidR="0087504D" w:rsidRDefault="0087504D">
      <w:pPr>
        <w:widowControl w:val="0"/>
        <w:spacing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504D" w:rsidRDefault="00685926">
      <w:pPr>
        <w:widowControl w:val="0"/>
        <w:spacing w:line="259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 статьей 179 </w:t>
      </w:r>
      <w:r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Правительства Санкт-Петербурга 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их 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еализации» Правительство Санкт-Петербурга </w:t>
      </w:r>
    </w:p>
    <w:p w:rsidR="0087504D" w:rsidRDefault="0087504D">
      <w:pPr>
        <w:widowControl w:val="0"/>
        <w:spacing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504D" w:rsidRDefault="00685926">
      <w:pPr>
        <w:widowControl w:val="0"/>
        <w:spacing w:line="259" w:lineRule="auto"/>
        <w:jc w:val="both"/>
        <w:rPr>
          <w:rFonts w:ascii="Times New Roman" w:eastAsia="Calibri" w:hAnsi="Times New Roman" w:cs="Times New Roman"/>
          <w:b/>
          <w:color w:val="000000"/>
          <w:spacing w:val="4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40"/>
          <w:sz w:val="24"/>
          <w:szCs w:val="24"/>
        </w:rPr>
        <w:t>ПОСТАНОВЛЯЕТ:</w:t>
      </w:r>
    </w:p>
    <w:p w:rsidR="0087504D" w:rsidRDefault="0087504D">
      <w:pPr>
        <w:widowControl w:val="0"/>
        <w:spacing w:line="259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504D" w:rsidRDefault="0068592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Внести в постановление Правительства Санкт-Петербурга от 14.11.2017 № 936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br/>
        <w:t xml:space="preserve">«О государственной программе Санкт-Петербурга «Развитие сферы туризма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br/>
        <w:t>в Санкт-Петербурге» следующие изменения:</w:t>
      </w:r>
    </w:p>
    <w:p w:rsidR="0087504D" w:rsidRDefault="00685926">
      <w:pPr>
        <w:pStyle w:val="a4"/>
        <w:spacing w:before="0" w:beforeAutospacing="0" w:after="0" w:afterAutospacing="0" w:line="288" w:lineRule="atLeast"/>
        <w:ind w:firstLine="540"/>
        <w:jc w:val="both"/>
      </w:pPr>
      <w:r>
        <w:rPr>
          <w:rFonts w:eastAsia="Calibri"/>
          <w:bCs/>
          <w:color w:val="000000"/>
        </w:rPr>
        <w:t xml:space="preserve">1.1. В </w:t>
      </w:r>
      <w:r>
        <w:rPr>
          <w:rFonts w:eastAsia="Calibri"/>
          <w:bCs/>
          <w:color w:val="000000"/>
        </w:rPr>
        <w:t>пункте 3.2 постановления слова «</w:t>
      </w:r>
      <w:r>
        <w:t>очередной финансовый год» заменить словами «три года, начиная с текущего финансового года».</w:t>
      </w:r>
    </w:p>
    <w:p w:rsidR="0087504D" w:rsidRDefault="00685926">
      <w:pPr>
        <w:pStyle w:val="a3"/>
        <w:spacing w:after="0"/>
        <w:ind w:left="0" w:firstLine="567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1.2. Приложение к постановлению изложить в редакции согласно приложению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br/>
        <w:t>к настоящему постановлению.</w:t>
      </w:r>
    </w:p>
    <w:p w:rsidR="0087504D" w:rsidRDefault="00685926">
      <w:pPr>
        <w:widowControl w:val="0"/>
        <w:spacing w:line="259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2. 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 выполнением пост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ановления возложить на вице-губернатора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Санкт-Петербурга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Пиотровского Б.М.</w:t>
      </w:r>
    </w:p>
    <w:p w:rsidR="0087504D" w:rsidRDefault="0087504D">
      <w:pPr>
        <w:widowControl w:val="0"/>
        <w:spacing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504D" w:rsidRDefault="0087504D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504D" w:rsidRDefault="0087504D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504D" w:rsidRDefault="0087504D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504D" w:rsidRDefault="0087504D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504D" w:rsidRDefault="00685926">
      <w:pPr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Губернатор</w:t>
      </w:r>
    </w:p>
    <w:p w:rsidR="0087504D" w:rsidRDefault="00685926">
      <w:pPr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Санкт-Петербурга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                       А.Д. Беглов</w:t>
      </w:r>
    </w:p>
    <w:p w:rsidR="0087504D" w:rsidRDefault="0087504D">
      <w:pPr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7504D" w:rsidRDefault="0087504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87504D">
      <w:pPr>
        <w:spacing w:after="160" w:line="259" w:lineRule="auto"/>
        <w:rPr>
          <w:rFonts w:eastAsia="Times New Roman" w:cs="Times New Roman"/>
        </w:rPr>
        <w:sectPr w:rsidR="0087504D">
          <w:pgSz w:w="11906" w:h="16838"/>
          <w:pgMar w:top="1134" w:right="850" w:bottom="1134" w:left="1701" w:header="708" w:footer="708" w:gutter="0"/>
          <w:cols w:space="720"/>
        </w:sectPr>
      </w:pPr>
    </w:p>
    <w:p w:rsidR="0087504D" w:rsidRDefault="0087504D">
      <w:pPr>
        <w:spacing w:after="160" w:line="259" w:lineRule="auto"/>
        <w:rPr>
          <w:rFonts w:eastAsia="Times New Roman" w:cs="Times New Roman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87504D">
        <w:trPr>
          <w:jc w:val="right"/>
        </w:trPr>
        <w:tc>
          <w:tcPr>
            <w:tcW w:w="4111" w:type="dxa"/>
          </w:tcPr>
          <w:p w:rsidR="0087504D" w:rsidRDefault="0068592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Приложение </w:t>
            </w:r>
          </w:p>
          <w:p w:rsidR="0087504D" w:rsidRDefault="0068592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постановлению</w:t>
            </w:r>
          </w:p>
          <w:p w:rsidR="0087504D" w:rsidRDefault="0068592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Правительства Санкт-Петербурга </w:t>
            </w:r>
          </w:p>
          <w:p w:rsidR="0087504D" w:rsidRDefault="00685926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                     № </w:t>
            </w:r>
          </w:p>
          <w:p w:rsidR="0087504D" w:rsidRDefault="0087504D">
            <w:pPr>
              <w:jc w:val="right"/>
              <w:rPr>
                <w:rFonts w:eastAsia="Times New Roman" w:cs="Times New Roman"/>
              </w:rPr>
            </w:pPr>
          </w:p>
        </w:tc>
      </w:tr>
    </w:tbl>
    <w:p w:rsidR="0087504D" w:rsidRDefault="00685926">
      <w:pPr>
        <w:spacing w:line="259" w:lineRule="auto"/>
        <w:jc w:val="center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ГОСУДАРСТВЕННАЯ ПРОГРАММА САНКТ-ПЕТЕРБУРГА</w:t>
      </w:r>
    </w:p>
    <w:p w:rsidR="0087504D" w:rsidRDefault="00685926">
      <w:pPr>
        <w:spacing w:line="259" w:lineRule="auto"/>
        <w:jc w:val="center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«Развитие сферы туризма в Санкт-Петербурге»</w:t>
      </w:r>
    </w:p>
    <w:p w:rsidR="0087504D" w:rsidRDefault="0087504D">
      <w:pPr>
        <w:spacing w:line="259" w:lineRule="auto"/>
        <w:jc w:val="center"/>
        <w:rPr>
          <w:rFonts w:eastAsia="Times New Roman" w:cs="Times New Roman"/>
        </w:rPr>
      </w:pPr>
    </w:p>
    <w:p w:rsidR="0087504D" w:rsidRDefault="00685926">
      <w:pPr>
        <w:spacing w:line="259" w:lineRule="auto"/>
        <w:jc w:val="center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1. ПАСПОРТ</w:t>
      </w:r>
    </w:p>
    <w:p w:rsidR="0087504D" w:rsidRDefault="00685926">
      <w:pPr>
        <w:spacing w:line="259" w:lineRule="auto"/>
        <w:jc w:val="center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государственной программы Санкт-Петербурга</w:t>
      </w:r>
    </w:p>
    <w:p w:rsidR="0087504D" w:rsidRDefault="00685926">
      <w:pPr>
        <w:spacing w:line="259" w:lineRule="auto"/>
        <w:jc w:val="center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«Развитие сферы туризма в </w:t>
      </w:r>
      <w:r>
        <w:rPr>
          <w:rFonts w:ascii="Times New Roman" w:eastAsia="Times New Roman" w:hAnsi="Times New Roman" w:cs="Times New Roman"/>
          <w:b/>
          <w:sz w:val="24"/>
        </w:rPr>
        <w:t>Санкт-Петербурге»</w:t>
      </w:r>
    </w:p>
    <w:p w:rsidR="0087504D" w:rsidRDefault="00685926">
      <w:pPr>
        <w:spacing w:line="259" w:lineRule="auto"/>
        <w:jc w:val="center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(далее – государственная программа)</w:t>
      </w:r>
    </w:p>
    <w:p w:rsidR="0087504D" w:rsidRDefault="0087504D">
      <w:pPr>
        <w:spacing w:line="259" w:lineRule="auto"/>
        <w:jc w:val="center"/>
        <w:rPr>
          <w:rFonts w:eastAsia="Times New Roman" w:cs="Times New Roman"/>
        </w:rPr>
      </w:pPr>
    </w:p>
    <w:tbl>
      <w:tblPr>
        <w:tblStyle w:val="a8"/>
        <w:tblW w:w="10620" w:type="dxa"/>
        <w:jc w:val="right"/>
        <w:tblLayout w:type="fixed"/>
        <w:tblLook w:val="04A0" w:firstRow="1" w:lastRow="0" w:firstColumn="1" w:lastColumn="0" w:noHBand="0" w:noVBand="1"/>
      </w:tblPr>
      <w:tblGrid>
        <w:gridCol w:w="480"/>
        <w:gridCol w:w="2100"/>
        <w:gridCol w:w="8040"/>
      </w:tblGrid>
      <w:tr w:rsidR="0087504D">
        <w:trPr>
          <w:jc w:val="right"/>
        </w:trPr>
        <w:tc>
          <w:tcPr>
            <w:tcW w:w="480" w:type="dxa"/>
          </w:tcPr>
          <w:p w:rsidR="0087504D" w:rsidRDefault="00685926">
            <w:pPr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0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государственной программы</w:t>
            </w:r>
          </w:p>
        </w:tc>
        <w:tc>
          <w:tcPr>
            <w:tcW w:w="804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КРТ</w:t>
            </w:r>
          </w:p>
        </w:tc>
      </w:tr>
      <w:tr w:rsidR="0087504D">
        <w:trPr>
          <w:jc w:val="right"/>
        </w:trPr>
        <w:tc>
          <w:tcPr>
            <w:tcW w:w="480" w:type="dxa"/>
          </w:tcPr>
          <w:p w:rsidR="0087504D" w:rsidRDefault="00685926">
            <w:pPr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0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Соисполнитель(и) государственной программы</w:t>
            </w:r>
          </w:p>
        </w:tc>
        <w:tc>
          <w:tcPr>
            <w:tcW w:w="8040" w:type="dxa"/>
          </w:tcPr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КВЗПБ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КЗ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КИО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КППИТ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КРТИ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</w:t>
            </w:r>
          </w:p>
        </w:tc>
      </w:tr>
      <w:tr w:rsidR="0087504D">
        <w:trPr>
          <w:jc w:val="right"/>
        </w:trPr>
        <w:tc>
          <w:tcPr>
            <w:tcW w:w="480" w:type="dxa"/>
          </w:tcPr>
          <w:p w:rsidR="0087504D" w:rsidRDefault="00685926">
            <w:pPr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0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Участник(и) государственной программы</w:t>
            </w:r>
          </w:p>
        </w:tc>
        <w:tc>
          <w:tcPr>
            <w:tcW w:w="8040" w:type="dxa"/>
          </w:tcPr>
          <w:p w:rsidR="0087504D" w:rsidRDefault="0087504D">
            <w:pPr>
              <w:rPr>
                <w:rFonts w:eastAsia="Times New Roman" w:cs="Times New Roman"/>
              </w:rPr>
            </w:pPr>
          </w:p>
        </w:tc>
      </w:tr>
      <w:tr w:rsidR="0087504D">
        <w:trPr>
          <w:jc w:val="right"/>
        </w:trPr>
        <w:tc>
          <w:tcPr>
            <w:tcW w:w="480" w:type="dxa"/>
          </w:tcPr>
          <w:p w:rsidR="0087504D" w:rsidRDefault="00685926">
            <w:pPr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0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Цели государственной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8040" w:type="dxa"/>
          </w:tcPr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системных условий для реализации стратегической роли устойчивого туризма в экономическом и социокультурном развитии Санкт-Петербурга.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</w:tc>
      </w:tr>
      <w:tr w:rsidR="0087504D">
        <w:trPr>
          <w:jc w:val="right"/>
        </w:trPr>
        <w:tc>
          <w:tcPr>
            <w:tcW w:w="480" w:type="dxa"/>
          </w:tcPr>
          <w:p w:rsidR="0087504D" w:rsidRDefault="00685926">
            <w:pPr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0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государственной программы</w:t>
            </w:r>
          </w:p>
        </w:tc>
        <w:tc>
          <w:tcPr>
            <w:tcW w:w="8040" w:type="dxa"/>
          </w:tcPr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Содействие строительству и модернизации объектов туристской и сопу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тствующей инфраструктуры 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спектра, качества и доступности предоставляемых туристских услуг 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системных условий для интенсивного развития конгрессно-выставочной деятельности и делового туризма 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Эффективная интеграция метабренда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Санкт-Петербурга в экономическое и социокультурное пространство Российской Федерации и за рубежом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благоприятных условий для устойчивого развития туризма </w:t>
            </w:r>
          </w:p>
        </w:tc>
      </w:tr>
      <w:tr w:rsidR="0087504D">
        <w:trPr>
          <w:jc w:val="right"/>
        </w:trPr>
        <w:tc>
          <w:tcPr>
            <w:tcW w:w="480" w:type="dxa"/>
          </w:tcPr>
          <w:p w:rsidR="0087504D" w:rsidRDefault="00685926">
            <w:pPr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0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Основания разработки государственной программы</w:t>
            </w:r>
          </w:p>
        </w:tc>
        <w:tc>
          <w:tcPr>
            <w:tcW w:w="8040" w:type="dxa"/>
          </w:tcPr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Постановление Правительства Санкт-Петербург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от 25.12.2013 № 1039 «О порядке принятия решений 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разработке государственных программ Санкт-Петербурга, формирования, реализации и проведения оценки эффективности их реализации»;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Стратегия развития туризма в Российской Федерации на период до 2035 года,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утвержденная распоряжением Правительства Российской Федерации от 20.09.2019 № 2129-р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</w:tc>
      </w:tr>
      <w:tr w:rsidR="0087504D">
        <w:trPr>
          <w:jc w:val="right"/>
        </w:trPr>
        <w:tc>
          <w:tcPr>
            <w:tcW w:w="480" w:type="dxa"/>
          </w:tcPr>
          <w:p w:rsidR="0087504D" w:rsidRDefault="00685926">
            <w:pPr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0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Региональные проекты, реализуемые в рамках государственной программы</w:t>
            </w:r>
          </w:p>
        </w:tc>
        <w:tc>
          <w:tcPr>
            <w:tcW w:w="8040" w:type="dxa"/>
          </w:tcPr>
          <w:p w:rsidR="0087504D" w:rsidRDefault="0087504D">
            <w:pPr>
              <w:rPr>
                <w:rFonts w:eastAsia="Times New Roman" w:cs="Times New Roman"/>
              </w:rPr>
            </w:pPr>
          </w:p>
        </w:tc>
      </w:tr>
      <w:tr w:rsidR="0087504D">
        <w:trPr>
          <w:jc w:val="right"/>
        </w:trPr>
        <w:tc>
          <w:tcPr>
            <w:tcW w:w="480" w:type="dxa"/>
          </w:tcPr>
          <w:p w:rsidR="0087504D" w:rsidRDefault="00685926">
            <w:pPr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0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объемов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налоговых расходов, соответствующих целям государственной программы</w:t>
            </w:r>
          </w:p>
        </w:tc>
        <w:tc>
          <w:tcPr>
            <w:tcW w:w="8040" w:type="dxa"/>
          </w:tcPr>
          <w:p w:rsidR="0087504D" w:rsidRDefault="00685926">
            <w:pPr>
              <w:ind w:right="1161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Общий объе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 налоговых расходов составляет 144066,0 тыс.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руб., в том числе по годам реализации:</w:t>
            </w:r>
          </w:p>
          <w:p w:rsidR="0087504D" w:rsidRDefault="00685926">
            <w:pPr>
              <w:ind w:right="1161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г. – </w:t>
            </w:r>
            <w:r w:rsidRPr="00CF5957">
              <w:rPr>
                <w:rFonts w:ascii="Times New Roman" w:eastAsia="Times New Roman" w:hAnsi="Times New Roman" w:cs="Times New Roman"/>
                <w:color w:val="000000"/>
                <w:sz w:val="24"/>
              </w:rPr>
              <w:t>47545,0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тыс. руб.;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2025 г. – </w:t>
            </w:r>
            <w:r w:rsidRPr="00CF5957">
              <w:rPr>
                <w:rFonts w:ascii="Times New Roman" w:eastAsia="Times New Roman" w:hAnsi="Times New Roman" w:cs="Times New Roman"/>
                <w:color w:val="000000"/>
                <w:sz w:val="24"/>
              </w:rPr>
              <w:t>48020,0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тыс. руб.;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2026 г. – </w:t>
            </w:r>
            <w:r w:rsidRPr="00CF5957">
              <w:rPr>
                <w:rFonts w:ascii="Times New Roman" w:eastAsia="Times New Roman" w:hAnsi="Times New Roman" w:cs="Times New Roman"/>
                <w:color w:val="000000"/>
                <w:sz w:val="24"/>
              </w:rPr>
              <w:t>48501,0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тыс. руб.;</w:t>
            </w:r>
          </w:p>
        </w:tc>
      </w:tr>
      <w:tr w:rsidR="0087504D">
        <w:trPr>
          <w:jc w:val="right"/>
        </w:trPr>
        <w:tc>
          <w:tcPr>
            <w:tcW w:w="480" w:type="dxa"/>
          </w:tcPr>
          <w:p w:rsidR="0087504D" w:rsidRDefault="00685926">
            <w:pPr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10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подпрограмм государственной программы (далее - подпрограммы) и отдельных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мероприятий государственной программы (далее – отдельные мероприятия)</w:t>
            </w:r>
          </w:p>
        </w:tc>
        <w:tc>
          <w:tcPr>
            <w:tcW w:w="804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Подпрограммы: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и совершенствование инфраструктуры туристской дестинации   (далее - Подпрограмма № 1)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Диверсификация туристского предложения с учетом соблюдения принципов устойчи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вости туризма  (далее - Подпрограмма № 2)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системы управления  метабрендом Санкт-Петербурга и его продвижения  (далее - Подпрограмма № 3)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</w:tc>
      </w:tr>
      <w:tr w:rsidR="0087504D">
        <w:trPr>
          <w:jc w:val="right"/>
        </w:trPr>
        <w:tc>
          <w:tcPr>
            <w:tcW w:w="480" w:type="dxa"/>
          </w:tcPr>
          <w:p w:rsidR="0087504D" w:rsidRDefault="00685926">
            <w:pPr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0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объем финансирования государственной программы по источникам финансирования с указанием объемов фин</w:t>
            </w:r>
            <w:r>
              <w:rPr>
                <w:rFonts w:ascii="Times New Roman" w:eastAsia="Times New Roman" w:hAnsi="Times New Roman" w:cs="Times New Roman"/>
                <w:sz w:val="24"/>
              </w:rPr>
              <w:t>ансирования, предусмотренных на реализацию региональных проектов, в том числе по годам реализации государственной программы</w:t>
            </w:r>
          </w:p>
        </w:tc>
        <w:tc>
          <w:tcPr>
            <w:tcW w:w="804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Общий объем финансирования государственной программы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12814631,4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тыс. руб., в том числе: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средств бюджета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Санкт-Петербурга – 12814631,4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2520857,5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1918158,0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1972458,1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2027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2051356,2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2133322,4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2218479,2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сче</w:t>
            </w:r>
            <w:r>
              <w:rPr>
                <w:rFonts w:ascii="Times New Roman" w:eastAsia="Times New Roman" w:hAnsi="Times New Roman" w:cs="Times New Roman"/>
                <w:sz w:val="24"/>
              </w:rPr>
              <w:t>т средств федерального бюджета – 0,0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2027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внебюджетных средств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4"/>
              </w:rPr>
              <w:t>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2027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объем финансирования региональных проектов составляет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 тыс.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руб., в том числе: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счет средств бюджета Санкт-Петербурга – 0,0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2027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 сч</w:t>
            </w:r>
            <w:r>
              <w:rPr>
                <w:rFonts w:ascii="Times New Roman" w:eastAsia="Times New Roman" w:hAnsi="Times New Roman" w:cs="Times New Roman"/>
                <w:sz w:val="24"/>
              </w:rPr>
              <w:t>ет средств федерального бюджета – 0,0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2027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внебюджетных средств –0,0 </w:t>
            </w:r>
            <w:r>
              <w:rPr>
                <w:rFonts w:ascii="Times New Roman" w:eastAsia="Times New Roman" w:hAnsi="Times New Roman" w:cs="Times New Roman"/>
                <w:sz w:val="24"/>
              </w:rPr>
              <w:t>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2027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2028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</w:t>
            </w:r>
            <w:r w:rsidRPr="00CF5957"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тыс. руб.;</w:t>
            </w:r>
          </w:p>
        </w:tc>
      </w:tr>
      <w:tr w:rsidR="0087504D">
        <w:trPr>
          <w:jc w:val="right"/>
        </w:trPr>
        <w:tc>
          <w:tcPr>
            <w:tcW w:w="480" w:type="dxa"/>
          </w:tcPr>
          <w:p w:rsidR="0087504D" w:rsidRDefault="00685926">
            <w:pPr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10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Ожидаемые результаты реализации государственной программы</w:t>
            </w:r>
          </w:p>
        </w:tc>
        <w:tc>
          <w:tcPr>
            <w:tcW w:w="8040" w:type="dxa"/>
          </w:tcPr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Перевод сфе</w:t>
            </w:r>
            <w:r>
              <w:rPr>
                <w:rFonts w:ascii="Times New Roman" w:eastAsia="Times New Roman" w:hAnsi="Times New Roman" w:cs="Times New Roman"/>
                <w:sz w:val="24"/>
              </w:rPr>
              <w:t>ры туризма на инновационный путь развития, укрепление роли туризма как драйвера роста экономики Санкт-Петербурга, в том числе через широкое внедрение информационных технологий;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социальной роли туризма в развитии Санкт-Петербурга;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необ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ходимого уровня эффективности государственно-правового регулирования сферы туризма;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качества, разнообразия, эффективности и доступности услуг в сфере туризма;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укрепление статуса Санкт-Петербурга как туристской дестинации мирового уровня;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 информированности иностранных и российских граждан о возможностях и преимуществах туристско-рекреационного комплекса Санкт-Петербурга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87504D">
            <w:pPr>
              <w:rPr>
                <w:rFonts w:eastAsia="Times New Roman" w:cs="Times New Roman"/>
              </w:rPr>
            </w:pPr>
          </w:p>
        </w:tc>
      </w:tr>
    </w:tbl>
    <w:p w:rsidR="0087504D" w:rsidRDefault="0087504D">
      <w:pPr>
        <w:rPr>
          <w:rFonts w:eastAsia="Times New Roman" w:cs="Times New Roman"/>
        </w:rPr>
        <w:sectPr w:rsidR="0087504D">
          <w:pgSz w:w="11906" w:h="16838"/>
          <w:pgMar w:top="1133" w:right="850" w:bottom="1133" w:left="698" w:header="708" w:footer="708" w:gutter="0"/>
          <w:cols w:space="720"/>
        </w:sectPr>
      </w:pPr>
    </w:p>
    <w:p w:rsidR="0087504D" w:rsidRDefault="0087504D">
      <w:pPr>
        <w:rPr>
          <w:rFonts w:eastAsia="Times New Roman" w:cs="Times New Roman"/>
        </w:rPr>
      </w:pPr>
    </w:p>
    <w:p w:rsidR="0087504D" w:rsidRDefault="0068592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Характеристика текущего состояния сферы туризма Санкт-Петербурга с указанием основных проблем</w:t>
      </w:r>
    </w:p>
    <w:p w:rsidR="0087504D" w:rsidRDefault="008750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Государственную политику Санкт-Петербурга в сфере развития туризма проводит КРТ.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глобальном экономическом и социокультурном пространстве Санкт-Петербург является признанным мировым туристским центром, развивающимся в соответствии с основными мировыми тен</w:t>
      </w:r>
      <w:r>
        <w:rPr>
          <w:rFonts w:ascii="Times New Roman" w:eastAsia="Times New Roman" w:hAnsi="Times New Roman" w:cs="Times New Roman"/>
          <w:sz w:val="24"/>
          <w:szCs w:val="24"/>
        </w:rPr>
        <w:t>денциями в сфере туризма. Санкт-Петербург обладает уникальным опытом, высокой конкурентоспособностью и значительным потенциалом развития как российская и мировая туристская дестинация, в которой обеспечены и постоянно совершенствуются системные условия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устойчивого развития туризма.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Статус Санкт-Петербурга как мировой туристской дестинации неоднократно подтвержден международным и российским экспертным сообществом. Наиболее престижные премии за достижения в различных направлениях туризма (культурно-познав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ательный, событийный, деловой, медицинский туризм и другие) наглядно демонстрируют возможности города как многофункциональной, мультитуристской, всесезонной дестинации, современного и доступного туристического центра мирового уровня. 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Санкт-Петербург призн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 лучшим по итогам II Всероссийской туристической премии </w:t>
      </w:r>
      <w:hyperlink r:id="rId9" w:tgtFrame="_blank"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Russian Travel Awards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номинации «Территория событийного туризма», а также получил специальный приз АНО «Национальные приоритеты» за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лучшую коммуникационную кампанию в области событийного туризма. 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Санкт-Петербургское государственное бюджетное учреждение «Городское туристско-информационное бюро» (далее - ГБУ «ГТИБ») победило в номинации «Лучший туристско-информационный центр в сфере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здания и продвижения турпродуктов для делового туризма и индустрии встреч» ежегодного конкурса Russian Business Travel MICE Award 2023 - ведущей отечественной премии для компаний сферы делового туризма. 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Санкт-Петербург получил также награды в других номин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ациях конкурса Russian Business Travel MICE Award 2023:</w:t>
      </w:r>
    </w:p>
    <w:p w:rsidR="0087504D" w:rsidRDefault="0068592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лучшая конгрессная гостиница России категории 4 звезды – «АЗИМУТ Сити Отель Санкт-Петербург»;</w:t>
      </w:r>
    </w:p>
    <w:p w:rsidR="0087504D" w:rsidRDefault="0068592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лучшая площадка для мероприятий среди объектов культуры– Государственный комплекс «Дворец конгрессов»;</w:t>
      </w:r>
    </w:p>
    <w:p w:rsidR="0087504D" w:rsidRDefault="0068592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луч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ший организатор конференций – Конгрессно-выставочная компания «Империя Форум»;</w:t>
      </w:r>
    </w:p>
    <w:p w:rsidR="0087504D" w:rsidRDefault="0068592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лучшая региональная торгово-промышленная палата в сфере развития конгрессно-выставочной индустрии – Санкт-Петербургская торгово-промышленная палата;</w:t>
      </w:r>
    </w:p>
    <w:p w:rsidR="0087504D" w:rsidRDefault="0068592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лучший региональный конгресс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но-выставочный центр – Конгрессно-выставочный центр «Экспофорум».</w:t>
      </w:r>
    </w:p>
    <w:p w:rsidR="0087504D" w:rsidRDefault="0068592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решению оргкомитета за лучший старт в проведении выставок и конгрессов в 2023 году отмечен Конгрессно-выставочный центр «Остров Фортов» в Кронштадте. 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Санкт-Петербург получил награду в 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минации «Лучшее представление города» на международной выставке по туризму ОТДЫХ Leisure в Москве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итогам национального конкурса «ТОП-50 лучших событий года» в лидеры вошли три петербургских мероприятия: концерт «Классика на Дворцовой», фестиваль «Чудо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вета», ежегодный международный карнавал-фестиваль сапсерфинга «Фонтанка SUP». В течение всего года события-победители получат активную информационную поддержку в рамках проекта «Национальный календарь событий». 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итогам ежегодной национальной премии «Событие года» в номинации «Лучший городской праздник» 3 место у Всероссийского дня туризма. 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Санкт-Петербург получил три Гран-при Международной премии Russian Event Awards 2023: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Гран-при в номинации «Регион событийн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ого туризма»; 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Гран-при в номинации «Лучшее MICE событие в области туризма» – Петербургский международный туристский форум TRAVEL HUB;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Гран-при в номинации «Лучшее туристическое событие по популяризации народных художественных промыслов и ремесел» – фестив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аль-ярмарка «Натуральное путешествие»;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III место в номинации «Лучшее туристическое событие, основанное на природном явлении или географическом положении» – Фестиваль ледовых скульптур «КроншЛёд»; 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III место в номинации «Лучшее туристическое событие в облас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ти научно-популярного туризма» – Открытие летнего туристического сезона. Фестиваль ледоколов.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Санкт-Петербург получил премию за вклад в развитие железнодорожного туризма по результатам премии «Партнёр ОАО «РЖД» – 20 лет вместе». 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Стратегия по развитию пром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ышленного туризма Санкт-Петербурга признана лучшей на Акселераторе «Открытая промышленность», организованном Агентством стратегических инициатив (АСИ) по продвижению новых проектов при поддержке Министерства промышленности и торговли Российской Федерации.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ВНИЦ R&amp;C представил ежегодный Рейтинг событийного потенциала регионов Российской Федерации на полях XII Евразийского Ивент Форума. Санкт- Петербург возглавляет рейтинг событийного потенциала регионов России.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Туризм оказался в числе отраслей российской экон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омики, пострадавших в результате пандемии, вызванной новой коронавирусной инфекцией (</w:t>
      </w:r>
      <w:r>
        <w:rPr>
          <w:rFonts w:ascii="Times New Roman" w:eastAsia="Calibri" w:hAnsi="Times New Roman" w:cs="Times New Roman"/>
          <w:bCs/>
          <w:sz w:val="24"/>
          <w:szCs w:val="24"/>
          <w:lang w:val="en-US" w:eastAsia="zh-CN" w:bidi="hi-IN"/>
        </w:rPr>
        <w:t>COVID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-19), а также в связи с введением санкционных мер против Российской Федераций.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Предпринятые Правительством Санкт-Петербурга меры по поддержке отрасли туризма и сохранению рабочих мест, слаженная работа КРТ с федеральными и региональными исполнительными органами государственной власти позволили Санкт-Петербургу принять по итогам 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9,4 млн. туристов, из них 93,6 % (8,8 млн. человек) пришлись на туристов из Российской Федерации и 6,4 % (600,0 тыс. человек) на гостей из зарубежных стран. </w:t>
      </w:r>
    </w:p>
    <w:p w:rsidR="0087504D" w:rsidRDefault="00685926">
      <w:pPr>
        <w:spacing w:line="259" w:lineRule="auto"/>
        <w:ind w:firstLine="567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Суммарный объем потребления по итогам 2023 года составляет </w:t>
      </w:r>
      <w:r>
        <w:rPr>
          <w:rFonts w:ascii="Times New Roman" w:eastAsia="+mn-ea" w:hAnsi="Times New Roman" w:cs="Times New Roman"/>
          <w:bCs/>
          <w:kern w:val="24"/>
          <w:sz w:val="24"/>
          <w:szCs w:val="24"/>
        </w:rPr>
        <w:t>482,7 млрд. руб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.</w:t>
      </w:r>
      <w:r>
        <w:rPr>
          <w:rFonts w:eastAsiaTheme="minorHAnsi" w:cs="Arial"/>
        </w:rPr>
        <w:t xml:space="preserve">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Порядка 88,8% тур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>истско-экскурсионного потребления обеспечивается туристами из регионов Российской Федерации, и только 11,2 % - иностранными туристами. Туристско-экскурсионное потребление иностранных туристов возросло в 2023 году на 83,7% относительно 2022 года, российских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туристов – на 27,3 %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Принятые решения и колоссальный потенциал Санкт-Петербурга как туристической столицы создают возможности для восстановления и последующего роста в сфере туризма. 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Прибытие туристов в Санкт-Петербург возможно по нескольким видам входа </w:t>
      </w:r>
      <w:r>
        <w:rPr>
          <w:rFonts w:ascii="Times New Roman" w:eastAsia="Calibri" w:hAnsi="Times New Roman" w:cs="Times New Roman"/>
          <w:sz w:val="24"/>
          <w:szCs w:val="24"/>
        </w:rPr>
        <w:t>туристского потока: автовокзалы (автостанции), аэропорт, железнодорожные вокзалы, пассажирские остановочные пункты (платформы), морские и речные вокзалы, причалы и пристани, пункты пропуска на государственной границе Российской Федерации.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Аэропорт «Пулково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является региональным хабом. Несмотря на то, что доля трансфера в пассажиропотоке аэропорта – до 3 %, большая его часть летит из городов северо-запада России (наиболее крупные – гг.Калининград, Архангельск, Мурманск, Сыктывкар, Череповец) по всей России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пересадкой в Санкт-Петербурге и наоборот. 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развитии маршрутной сети в сегменте иностранных авиаперевозчиков делается фокус на работе со странами Ближнего Востока, Северной Африки, Восточной и Юго-Восточной Азии, Латинской Америки, а также странами СН</w:t>
      </w:r>
      <w:r>
        <w:rPr>
          <w:rFonts w:ascii="Times New Roman" w:eastAsia="Calibri" w:hAnsi="Times New Roman" w:cs="Times New Roman"/>
          <w:sz w:val="24"/>
          <w:szCs w:val="24"/>
        </w:rPr>
        <w:t>Г. В настоящее время ведутся переговоры о сотрудничестве с авиакомпаниями.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иностранными авиакомпаниями, которые уже выполняют рейсы в Санкт-Петербург, проводятся переговоры об увеличении частоты полетов по действующим маршрутам. 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Региональная маршрутная </w:t>
      </w:r>
      <w:r>
        <w:rPr>
          <w:rFonts w:ascii="Times New Roman" w:eastAsia="Calibri" w:hAnsi="Times New Roman" w:cs="Times New Roman"/>
          <w:sz w:val="24"/>
          <w:szCs w:val="24"/>
        </w:rPr>
        <w:t>сеть будет развиваться за счет открытия новых направлений и увеличения частоты полетов по существующим маршрутам.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Санкт-Петербурге налажено сообщение с городами Российской Федерации по железной дороге. В Санкт-Петербурге действуют 5 железнодорожных вокза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лов, обеспечивающих сообщение со всеми крупными городами Российской Федерации. 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Санкт-Петербурга одним из основных видов внешнего транспорта является водный (морской) транспорт, субъекты которого осуществляют пассажирскую работу в морском порту «Большо</w:t>
      </w:r>
      <w:r>
        <w:rPr>
          <w:rFonts w:ascii="Times New Roman" w:eastAsia="Calibri" w:hAnsi="Times New Roman" w:cs="Times New Roman"/>
          <w:sz w:val="24"/>
          <w:szCs w:val="24"/>
        </w:rPr>
        <w:t>й порт Санкт-Петербург» и морском порту «Пассажирский порт Санкт-Петербург». Морские пассажирские перевозки осуществляются с использованием инфраструктуры морского порта «Пассажирский порт Санкт-Петербург», имущественного комплекса Морского вокзала, а такж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причальных комплексов Английской наб. и наб.Лейтенанта Шмидта. 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условиях прекращения морского международного пассажирского сообщения последовательно осуществляется комплекс мероприятий по перепрофилированию инфраструктурных активов, расположенных в Бол</w:t>
      </w:r>
      <w:r>
        <w:rPr>
          <w:rFonts w:ascii="Times New Roman" w:eastAsia="Calibri" w:hAnsi="Times New Roman" w:cs="Times New Roman"/>
          <w:sz w:val="24"/>
          <w:szCs w:val="24"/>
        </w:rPr>
        <w:t>ьшом порту Санкт-Петербурга, для нужд внутреннего водного транспорта и предоставлению причального фронта речным судам. В навигацию 2023 года осуществлено 20 судозаходов, пассажиропоток составил 2007 человек.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Санкт-Петербурге и на границе с Ленинградской </w:t>
      </w:r>
      <w:r>
        <w:rPr>
          <w:rFonts w:ascii="Times New Roman" w:eastAsia="Calibri" w:hAnsi="Times New Roman" w:cs="Times New Roman"/>
          <w:sz w:val="24"/>
          <w:szCs w:val="24"/>
        </w:rPr>
        <w:t>областью существуют три причальных комплекса для приема круизных речных судов, в навигацию 2023 года осуществлено 443 судозахода, что на 9 % больше навигационного периода 2022 года. Пассажиропоток в 2023 году составил 184 224 человек (прибытие/убытие),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17 % больше чем за 2022 год и указывает на востребованность речных круизных перевозок. 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снижается спрос жителей Санкт-Петербурга на активный отдых на воде и у воды в черте города. 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Учитывая статус Санкт-Петербурга как морской столицы России, яхтенны</w:t>
      </w:r>
      <w:r>
        <w:rPr>
          <w:rFonts w:ascii="Times New Roman" w:eastAsia="Calibri" w:hAnsi="Times New Roman" w:cs="Times New Roman"/>
          <w:sz w:val="24"/>
          <w:szCs w:val="24"/>
        </w:rPr>
        <w:t>й туризм является одним из приоритетных направлений развития туристской отрасли в городе.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2023 году появились новые места притяжения любителей парусного спорта Санкт-Петербурга. Открыт новый яхтенный порт «Смоленка» Яхт-клуба Санкт-Петербурга. На террито</w:t>
      </w:r>
      <w:r>
        <w:rPr>
          <w:rFonts w:ascii="Times New Roman" w:eastAsia="Calibri" w:hAnsi="Times New Roman" w:cs="Times New Roman"/>
          <w:sz w:val="24"/>
          <w:szCs w:val="24"/>
        </w:rPr>
        <w:t>рии рядом с Морским пассажирским портом на намыве Васильевского острова разместилась Академия парусного спорта. В новой гавани могут разместиться 200 судов и швартоваться яхты длиной до 40 метров. В центре Петербурга на набережной р. Ждановки открыта новая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водно-моторная стоянка. Открыт новый причал «Крестовский остров» на Набережной Мартынова у 2-го Елагина моста для водного транспорта и экскурсионных теплоходов. Одновременно в городе запустили сразу три новых маршрута по воде, которые соединили между собо</w:t>
      </w:r>
      <w:r>
        <w:rPr>
          <w:rFonts w:ascii="Times New Roman" w:eastAsia="Calibri" w:hAnsi="Times New Roman" w:cs="Times New Roman"/>
          <w:sz w:val="24"/>
          <w:szCs w:val="24"/>
        </w:rPr>
        <w:t>й самые популярные места притяжения горожан и туристов.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Туристская привлекательность Санкт-Петербурга обусловлена высокой концентрацией музейно-исторических и культурно-зрелищных объектов, вхождением исторического центра Санкт-Петербурга в Список всемирног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наследия ЮНЕСКО. 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климатические особенности Санкт-Петербурга, где влияние циклонов Балтийского моря дает короткое прохладное лето и длинную холодную сырую зиму, а на протяжении большей части года преобладают дни с облачной пасмурной погодой, обусловливают ярко выраже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нную сезонность туристского интереса. Особенно большой поток туристов посещает Северную столицу в период белых ночей, приходящийся на конец мая – середину июля. Высоким сезоном в Санкт-Петербурге можно считать период с мая по октябрь. 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учетом негативного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влияния на туристическую отрасль санкционного давления очень большую значимость приобретает государственное регулирование сферы туризма,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призванное сбалансировать интересы всех ее субъектов и содействовать максимально эффективному использованию туристских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ресурсов в целях социокультурного и экономического развития Санкт-Петербурга.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Туристская функция является системообразующей, оказывая стимулирующее действие и на другие секторы экономики (в том числе транспорт, связь, торговлю), способствуя созданию значи</w:t>
      </w:r>
      <w:r>
        <w:rPr>
          <w:rFonts w:ascii="Times New Roman" w:eastAsia="Times New Roman" w:hAnsi="Times New Roman" w:cs="Times New Roman"/>
          <w:sz w:val="24"/>
          <w:szCs w:val="24"/>
        </w:rPr>
        <w:t>тельного количества рабочих мест, увеличению налогооблагаемой базы и поступлений средств от налогов в казну Санкт-Петербурга и Российской Федерации.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систематизации туристских ресурсов, определения степени их востребованности и влияния на экономику Санк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т-Петербурга в процесс государственного регулирования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туристической </w:t>
      </w:r>
      <w:r>
        <w:rPr>
          <w:rFonts w:ascii="Times New Roman" w:eastAsia="Times New Roman" w:hAnsi="Times New Roman" w:cs="Times New Roman"/>
          <w:sz w:val="24"/>
          <w:szCs w:val="24"/>
        </w:rPr>
        <w:t>отрасли необходимо проведение научно-исследовательской работы, маркетинговых и социологических исследований и мероприятий по повышению кадрового потенциала сферы туризма.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совершенс</w:t>
      </w:r>
      <w:r>
        <w:rPr>
          <w:rFonts w:ascii="Times New Roman" w:eastAsia="Times New Roman" w:hAnsi="Times New Roman" w:cs="Times New Roman"/>
          <w:sz w:val="24"/>
          <w:szCs w:val="24"/>
        </w:rPr>
        <w:t>твования кадрового обеспечения туристической отрасли АНО «Центр компетенций в сфере туризма и гостеприимства» реализует мероприятия по развитию системы дополнительного образования, повышения квалификации и профессиональной переподготовки кадров.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2023 год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 в рамках реализации регионального проекта «Совершенствование управления в сфере туризма (город федерального значения Санкт-Петербург)» в рамках федерального проекта «Совершенствование управления в сфере туризма» национального проекта «Туризм и индустрия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гостеприимства»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базе АНО «Центр компетенций в сфере туризма и гостеприимства»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1500 слушателей успешно завершили обучение в международном центре компетенций в сфере туризма и гостеприимства в Санкт-Петербурге по программам профессиональной переподготовки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повышения квалификации для отрасли туризма и сферы гостеприимства.</w:t>
      </w:r>
    </w:p>
    <w:p w:rsidR="0087504D" w:rsidRDefault="006859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состоянию на 31.12.2023 в Санкт-Петербурге осуществляют деятельность 1 228 классифицированных коллективных средств размещения с общим номерным фондом 52 407 номера (155 116 койко-мест</w:t>
      </w:r>
      <w:r>
        <w:rPr>
          <w:rFonts w:ascii="Times New Roman" w:eastAsia="Calibri" w:hAnsi="Times New Roman" w:cs="Times New Roman"/>
          <w:sz w:val="24"/>
          <w:szCs w:val="24"/>
        </w:rPr>
        <w:t>а), в том числе следующие категории: «пять звезд» – 38; «четыре звезды» – 153; «три звезды» – 327; «две звезды» – 71; «одна звезда» – 26; «без звезд» – 608.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Перспективным направлением совершенствования гостиничной индустрии Санкт-Петербурга является развит</w:t>
      </w:r>
      <w:r>
        <w:rPr>
          <w:rFonts w:ascii="Times New Roman" w:eastAsia="Times New Roman" w:hAnsi="Times New Roman" w:cs="Times New Roman"/>
          <w:sz w:val="24"/>
          <w:szCs w:val="24"/>
        </w:rPr>
        <w:t>ие гостиниц премиум-класса, гостиниц среднего ценового сегмента и хостелов, работающих по международным стандартам сервиса.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в связи с развитием индивидуального, прежде всего молодежного и семейного, видов туризма актуально развитие относительно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нового для Санкт-Петербурга и Российской Федерации сектора индустрии гостеприимства – автокемпингов.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Уникальное географическое положение Санкт-Петербурга позволяет также развивать сеть плавучих гостиниц – аквателей, ботелей, хостелов на воде.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наиболее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полной и равномерной загрузки номерного фонда гостиниц Санкт-Петербурга, а также в целях роста и перераспределения туристских потоков требуется обеспечить диверсификацию туристского предложения, развивая как традиционные для Санкт-Петербурга виды туризма </w:t>
      </w:r>
      <w:r>
        <w:rPr>
          <w:rFonts w:ascii="Times New Roman" w:eastAsia="Times New Roman" w:hAnsi="Times New Roman" w:cs="Times New Roman"/>
          <w:sz w:val="24"/>
          <w:szCs w:val="24"/>
        </w:rPr>
        <w:t>– культурно-познавательный, водный, событийный и деловой, так и новые – медицинский туризм, свадебный туризм, гастрономический туризм, автотуризм, заинтересованность в которых диктуется мировыми тенденциями в отрасли и туристским потенциалом Санкт-Петербур</w:t>
      </w:r>
      <w:r>
        <w:rPr>
          <w:rFonts w:ascii="Times New Roman" w:eastAsia="Times New Roman" w:hAnsi="Times New Roman" w:cs="Times New Roman"/>
          <w:sz w:val="24"/>
          <w:szCs w:val="24"/>
        </w:rPr>
        <w:t>га.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поддержания интереса к культурно-историческому наследию Санкт-Петербурга требуется создание новых пешеходных территорий и маршрутов, включающих объекты отечественной и мировой науки, памятники промышленной архитектуры, объекты ландшафтной архитекту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ры, исторические курортные зоны и другие объекты, разработка и реализация маркетинговых мероприятий по продвижению пешеходных, трамвайных, каретных, водных и вертолетных экскурсий в Санкт-Петербурге, а также водных экскурсионных маршрутов, включая систему </w:t>
      </w:r>
      <w:r>
        <w:rPr>
          <w:rFonts w:ascii="Times New Roman" w:eastAsia="Times New Roman" w:hAnsi="Times New Roman" w:cs="Times New Roman"/>
          <w:sz w:val="24"/>
          <w:szCs w:val="24"/>
        </w:rPr>
        <w:t>оборонительных фортов Кронштадта.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 «Новая туристская география» направлен на формирование новой организации городской гостевой среды, создание специализированных туристских районов, формирующих новый облик Санкт-Петербурга на мировом рынке, способств</w:t>
      </w:r>
      <w:r>
        <w:rPr>
          <w:rFonts w:ascii="Times New Roman" w:eastAsia="Times New Roman" w:hAnsi="Times New Roman" w:cs="Times New Roman"/>
          <w:sz w:val="24"/>
          <w:szCs w:val="24"/>
        </w:rPr>
        <w:t>ующих появлению новых продуктов и локальных брендов. Проект «Новая туристская география» способствует вовлечению креативных пространств в современные экскурсионные маршруты и привлечению новых категорий туристов.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продвижения имиджа Санкт-Петербурга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дестинации для культурно-познавательного туризма и увеличения туристских потоков в Санкт-Петербург был запущен и успешно реализуется совместный проект с Комитетом по туризму города Москвы «Два города – миллион впечатлений», задачей которого является форми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образа уникального единого туристического кластера и продвижение туристического потенциала двух столиц.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необходимо развитие и продвижение Санкт-Петербурга не только как самостоятельного туристского направления, но и как одного из ключев</w:t>
      </w:r>
      <w:r>
        <w:rPr>
          <w:rFonts w:ascii="Times New Roman" w:eastAsia="Times New Roman" w:hAnsi="Times New Roman" w:cs="Times New Roman"/>
          <w:sz w:val="24"/>
          <w:szCs w:val="24"/>
        </w:rPr>
        <w:t>ых элементов межрегионального туристского проекта «Серебряное ожерелье России», объединяющего туристский потенциал регионов Северо-Западного федерального округа.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 учетом инициативы Губернатора Санкт-Петербурга А.Д. Беглова, КРТ принимает участие в реализа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sz w:val="24"/>
          <w:szCs w:val="24"/>
        </w:rPr>
        <w:t>проекта «Из Москвы в Санкт-Петербург»,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направленного на формирование комплексного стратегического мастер-плана территориального развития туристской инфраструктуры и продвижения макрорегиона Республики Карелия, Ленинградской, Московской, Новгородской,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сковской и Тверской областей, Москвы и Санкт-Петербурга.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 исполнение поручения Президента Российской Федерации по итогам заседания Президиума Государственного Совета Российской Федерации 6 сентября 2022 года о создании всесезонных курортов в мастер-план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включены проекты по созданию круглогодичного морского курорта в Санкт-Петербурге с участием компаний, имеющих опыт территориального проектирования лучших мировых курортов, с территориальной привязкой районов Санкт-Петербурга, обладающих широкими возможност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ями для отдыха и туризма. 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Санкт-Петербург, в котором функционируют всемирно известные медицинские школы по кардиологии и онкологии, присутствуют современные центры медицинской помощи и четыре клиники, имеющие международную сертификацию (ISO), может стать </w:t>
      </w:r>
      <w:r>
        <w:rPr>
          <w:rFonts w:ascii="Times New Roman" w:eastAsia="Times New Roman" w:hAnsi="Times New Roman" w:cs="Times New Roman"/>
          <w:sz w:val="24"/>
          <w:szCs w:val="24"/>
        </w:rPr>
        <w:t>лидером внутреннего медицинского туризма в Российской Федерации по ряду направлений (кардиохирургия, онкология, репродуктология и травматология). Для достижения указанной цели необходимо обеспечить четкое позиционирование Санкт-Петербурга на рынке медицинс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туризма и формирование пакетов предложений по данным видам медицинской помощи.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КРТ совместно с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гентством медицинского туризма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реализуются мероприятия в рамках развития медицинского туризма.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Расширение туристского предложения, обеспечение роста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качества и конкурентоспособности туристских продуктов требуют обновления инфраструктуры сферы туризма, ее соответствия современным требованиям, в числе которых доступность объектов туризма для маломобильных групп населения, их оснащенность IT-оборудованием</w:t>
      </w:r>
      <w:r>
        <w:rPr>
          <w:rFonts w:ascii="Times New Roman" w:eastAsia="Times New Roman" w:hAnsi="Times New Roman" w:cs="Times New Roman"/>
          <w:sz w:val="24"/>
          <w:szCs w:val="24"/>
        </w:rPr>
        <w:t>, системами безопасности и контроля доступа.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Важнейшей задачей развития инфраструктуры туризма является модернизация пунктов прибытия: речной пассажирский терминал, грузопассажирский паромный комплекс, автомобильные переходы государственной границы и автод</w:t>
      </w:r>
      <w:r>
        <w:rPr>
          <w:rFonts w:ascii="Times New Roman" w:eastAsia="Times New Roman" w:hAnsi="Times New Roman" w:cs="Times New Roman"/>
          <w:sz w:val="24"/>
          <w:szCs w:val="24"/>
        </w:rPr>
        <w:t>ороги.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принятие стимулирующих мер по развитию инфраструктуры туризма со снижением платы за подключение к инженерным сетям, земельных платежей, субсидированием процентных ставок, юридической и инженерной подготовкой территорий для строительства о</w:t>
      </w:r>
      <w:r>
        <w:rPr>
          <w:rFonts w:ascii="Times New Roman" w:eastAsia="Times New Roman" w:hAnsi="Times New Roman" w:cs="Times New Roman"/>
          <w:sz w:val="24"/>
          <w:szCs w:val="24"/>
        </w:rPr>
        <w:t>бъектов туристской инфраструктуры.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Отдельного внимания при реализации мероприятий по развитию туристской инфраструктуры требуют вопросы увеличения количества и совершенствования объектов, обслуживающих потребности деловых туристов и конгрессно-выставочных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</w:p>
    <w:p w:rsidR="0087504D" w:rsidRDefault="0068592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целях развития конгрессно-выставочного потенциала Санкт-Петербурга и его продвижения как деловой дестинации мирового уровня осуществляет свою деятельность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Санкт-Петербургское государственное бюджетное учреждение «Конгрессно-выставочное бюро»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- </w:t>
      </w:r>
      <w:r>
        <w:rPr>
          <w:rFonts w:ascii="Times New Roman" w:eastAsia="Calibri" w:hAnsi="Times New Roman" w:cs="Times New Roman"/>
          <w:sz w:val="24"/>
          <w:szCs w:val="24"/>
        </w:rPr>
        <w:t>ГБУ «КВБ»).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количество конгрессно-выставочных мероприятий, проводимых в Санкт-Петербурге, увеличилось с 343 в 2017 году (базовый год отчетности) до 630 в 2023 году.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Благодаря большому количеству проводимых мероприятий Санкт-Петербургом осущ</w:t>
      </w:r>
      <w:r>
        <w:rPr>
          <w:rFonts w:ascii="Times New Roman" w:eastAsia="Times New Roman" w:hAnsi="Times New Roman" w:cs="Times New Roman"/>
          <w:sz w:val="24"/>
          <w:szCs w:val="24"/>
        </w:rPr>
        <w:t>ествляется активная работа по привлечению инвестиций в развитие соответствующей инфраструктуры.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2023 год в Санкт-Петербурге действует 235 площадок, подходящих для проведения деловых мероприятий. Более половины от общего объема занимают отел</w:t>
      </w:r>
      <w:r>
        <w:rPr>
          <w:rFonts w:ascii="Times New Roman" w:eastAsia="Times New Roman" w:hAnsi="Times New Roman" w:cs="Times New Roman"/>
          <w:sz w:val="24"/>
          <w:szCs w:val="24"/>
        </w:rPr>
        <w:t>и с конгрессными возможностями – 53%, на втором месте находятся уникальные площадки (дворцы, музеи, усадьбы, библиотеки, научные учреждения, концертно-спортивные комплексы и иные пространства) – 43%. Специализированные площадки по своему количеству в общей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структуре занимают только третье место – 2%.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Суммарная единовременная вместимость всех площадок Санкт-Петербурга, обладающих конгрессно-выставочными возможностями (тип рассадки – театр), составляет 280 548 человек. 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точки зрения концентрации конгрессных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площадок лидируют Центральный (88 площадок), Адмиралтейский (44 площадки) и Василеостровский (20 площадок) районы Санкт-Петербурга.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Более 100 отелей Санкт-Петербурга готовы предоставлять более 600 залов (общей площадью 67 тыс. кв.м) для проведения деловых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мероприятий. Эти ресурсы позволяют обслуживать и проводить на высочайшем уровне мероприятия любых сложностей и форматов.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Деловой туризм способен значительно повлиять на решение проблемы сезонности туристского потока, поскольку деловые мероприятия в основн</w:t>
      </w:r>
      <w:r>
        <w:rPr>
          <w:rFonts w:ascii="Times New Roman" w:eastAsia="Times New Roman" w:hAnsi="Times New Roman" w:cs="Times New Roman"/>
          <w:sz w:val="24"/>
          <w:szCs w:val="24"/>
        </w:rPr>
        <w:t>ом проводятся в межсезонье. Пиковыми сезонами для организации выставок являются периоды с марта по май и с сентября по ноябрь.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Санкт-Петербурге проводятся крупные международные конгрессные мероприятия: Петербургский международный экономический форум, Сан</w:t>
      </w:r>
      <w:r>
        <w:rPr>
          <w:rFonts w:ascii="Times New Roman" w:eastAsia="Times New Roman" w:hAnsi="Times New Roman" w:cs="Times New Roman"/>
          <w:sz w:val="24"/>
          <w:szCs w:val="24"/>
        </w:rPr>
        <w:t>кт-Петербургский международный культурный форум, Петербургский международный юридический форум, Международный финансовый конгресс, организаторами которых выступают федеральные органы исполнительной власти.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увеличения прямого дохода от пребывания в </w:t>
      </w:r>
      <w:r>
        <w:rPr>
          <w:rFonts w:ascii="Times New Roman" w:eastAsia="Times New Roman" w:hAnsi="Times New Roman" w:cs="Times New Roman"/>
          <w:sz w:val="24"/>
          <w:szCs w:val="24"/>
        </w:rPr>
        <w:t>Санкт-Петербурге деловых туристов, принимающих участие в крупных международных конгрессно-выставочных мероприятиях, необходимо стимулировать вовлечение местных компаний (профессиональных операторов рынка) в качестве субподрядчиков и исполнителей при провед</w:t>
      </w:r>
      <w:r>
        <w:rPr>
          <w:rFonts w:ascii="Times New Roman" w:eastAsia="Times New Roman" w:hAnsi="Times New Roman" w:cs="Times New Roman"/>
          <w:sz w:val="24"/>
          <w:szCs w:val="24"/>
        </w:rPr>
        <w:t>ении крупномасштабных конгрессных проектов на территории Санкт-Петербурга и инициировать организацию указанных проектов.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Особая роль в повышении востребованности Санкт-Петербурга как туристской дестинации возлагается на реализацию комплекса маркетинговых м</w:t>
      </w:r>
      <w:r>
        <w:rPr>
          <w:rFonts w:ascii="Times New Roman" w:eastAsia="Times New Roman" w:hAnsi="Times New Roman" w:cs="Times New Roman"/>
          <w:sz w:val="24"/>
          <w:szCs w:val="24"/>
        </w:rPr>
        <w:t>ероприятий, включающих обеспечение участия Санкт-Петербурга в международных туристских выставках в Российской Федерации и за рубежом, подготовку и проведение презентационных мероприятий туристского потенциала Санкт-Петербурга в городах и странах, имеющих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риоритетное значение для привлечения туристов в Санкт-Петербург, организацию информационно-ознакомительных визитов иностранных и российских журналистов и туроператоров, размещение информации о Санкт-Петербурге в российских и иностранных средствах массовой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информации, а также имиджевой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о Санкт-Петербурге на наружных носителях, расположенных в крупных российских и зарубежных городах.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Планомерному ведению работы, направленной на продвижение туристского продукта Санкт-Петербурга на международном и ро</w:t>
      </w:r>
      <w:r>
        <w:rPr>
          <w:rFonts w:ascii="Times New Roman" w:eastAsia="Times New Roman" w:hAnsi="Times New Roman" w:cs="Times New Roman"/>
          <w:sz w:val="24"/>
          <w:szCs w:val="24"/>
        </w:rPr>
        <w:t>ссийском туристских рынках, создание комфортной информационной среды для гостей и жителей Санкт-Петербурга, интеграцию новейших информационных технологий в различные области туристской индустрии на территории Санкт-Петербурга, способствует деятельность ГБУ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«ГТИБ».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Санкт-Петербурге работают 2 информационных офиса, 4 информационных павильона, расположенные в непосредственной близости от основных достопримечательностей города, 2 стойки в аэропорту «Пулково», информационно-кассовый павильон </w:t>
      </w:r>
      <w:r>
        <w:rPr>
          <w:rFonts w:ascii="Times New Roman" w:eastAsia="Times New Roman" w:hAnsi="Times New Roman" w:cs="Times New Roman"/>
          <w:sz w:val="24"/>
          <w:szCs w:val="24"/>
        </w:rPr>
        <w:t>на территории музейно-исторического парка «Остров фортов» в Кронштадте. В тестовом режиме открылись информационные стойки на Московском и Ладожском вокзалах. В 2023 году павильоны и офисы посетило около 239 000 туристов. Поступило более 5 000 телефонных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ращений. 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Регулярно обновляемая информационная база содержит сведения обо всем, что может заинтересовать гостей и жителей Санкт-Петербурга. Благодаря деятельности ГБУ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ГТИБ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повышается узнаваемость символики Санкт-Петербурга и укрепляется положительный ими</w:t>
      </w:r>
      <w:r>
        <w:rPr>
          <w:rFonts w:ascii="Times New Roman" w:eastAsia="Times New Roman" w:hAnsi="Times New Roman" w:cs="Times New Roman"/>
          <w:sz w:val="24"/>
          <w:szCs w:val="24"/>
        </w:rPr>
        <w:t>дж Санкт-Петербурга как безопасного, комфортного и гостеприимного города.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высокий туристический сезон работает мобильная информационная служба «Турпомощь», сотрудники которой в 2023 году оказали помощь порядка 120 тысячам туристов. </w:t>
      </w:r>
      <w:r>
        <w:rPr>
          <w:rFonts w:ascii="Times New Roman" w:eastAsia="Times New Roman" w:hAnsi="Times New Roman" w:cs="Times New Roman"/>
          <w:sz w:val="24"/>
          <w:szCs w:val="24"/>
        </w:rPr>
        <w:t>Кроме того, обеспечива</w:t>
      </w:r>
      <w:r>
        <w:rPr>
          <w:rFonts w:ascii="Times New Roman" w:eastAsia="Times New Roman" w:hAnsi="Times New Roman" w:cs="Times New Roman"/>
          <w:sz w:val="24"/>
          <w:szCs w:val="24"/>
        </w:rPr>
        <w:t>ется работа бесплатной туристской телефонной линии «Контакт-центр», оказывающей туристам информационную поддержку, в том числе в экстренных ситуациях. Основная задача «Контакт-центра» – увеличение общего уровня информированности о туристских ресурсах и воз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можностях Санкт-Петербурга и продвижение Санкт-Петербурга как туристского центра мирового уровня, повышение туристской привлекательности. 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Ежедневно на ресурcах в сети Интернет ГБУ «ГТИБ» публикуются тематические подборки и исторические факты, анонсируются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фестивали, маршруты. В 2023 году ко всем интернет-ресурсам обратилось 1 154 114 пользователей. Охват по социальным сетям за 2023 год составил: Вконтакте Visit-Petersburg – около 3 млн.; Телеграм Visit-Petersburg – более 3 млн. 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увеличения эффекта рабо</w:t>
      </w:r>
      <w:r>
        <w:rPr>
          <w:rFonts w:ascii="Times New Roman" w:eastAsia="Times New Roman" w:hAnsi="Times New Roman" w:cs="Times New Roman"/>
          <w:sz w:val="24"/>
          <w:szCs w:val="24"/>
        </w:rPr>
        <w:t>ты по всем перечисленным направлениям очень важно вести подготовку законодательных инициатив по снятию административных барьеров в развитии туризма. К ним относятся введение безвизового въезда иностранных граждан на территорию Санкт-Петербурга на срок до с</w:t>
      </w:r>
      <w:r>
        <w:rPr>
          <w:rFonts w:ascii="Times New Roman" w:eastAsia="Times New Roman" w:hAnsi="Times New Roman" w:cs="Times New Roman"/>
          <w:sz w:val="24"/>
          <w:szCs w:val="24"/>
        </w:rPr>
        <w:t>еми дней, упрощенные процедуры временного ввоза оборудования и экспонатов выставок и конференций, временного ввоза транспортных средств, включая некоммерческие плавсредства, пограничного и таможенного контроля.</w:t>
      </w:r>
    </w:p>
    <w:p w:rsidR="0087504D" w:rsidRDefault="006859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7504D">
          <w:headerReference w:type="default" r:id="rId10"/>
          <w:headerReference w:type="first" r:id="rId11"/>
          <w:pgSz w:w="11905" w:h="16838"/>
          <w:pgMar w:top="1134" w:right="851" w:bottom="1134" w:left="1701" w:header="567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Для оценки вклада отрасли в экономику Санкт-Петербурга и обоснования потребности вовлечения в развитие туризма других отраслей экономики необходимо регулярное проведение научных, социологических и маркетинговых исследований, которые отчасти смогут компенси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ровать существующие пробелы в системе статистического учета, характеризующего состояние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туристической </w:t>
      </w:r>
      <w:r>
        <w:rPr>
          <w:rFonts w:ascii="Times New Roman" w:eastAsia="Times New Roman" w:hAnsi="Times New Roman" w:cs="Times New Roman"/>
          <w:sz w:val="24"/>
          <w:szCs w:val="24"/>
        </w:rPr>
        <w:t>отрасли. Разработка методик оценки эффективности туристской деятельности должна быть признана одним из главных условий, предваряющих принятие решений, кас</w:t>
      </w:r>
      <w:r>
        <w:rPr>
          <w:rFonts w:ascii="Times New Roman" w:eastAsia="Times New Roman" w:hAnsi="Times New Roman" w:cs="Times New Roman"/>
          <w:sz w:val="24"/>
          <w:szCs w:val="24"/>
        </w:rPr>
        <w:t>ающихся вопросов состояния архитектурного облика Санкт-Петербурга, реализации крупных проектов, меняющих виды исторического центра, подготовки квалифицированных кадров для индустрии сервиса и туризма, технической оснащенности объектов показа и туристской и</w:t>
      </w:r>
      <w:r>
        <w:rPr>
          <w:rFonts w:ascii="Times New Roman" w:eastAsia="Times New Roman" w:hAnsi="Times New Roman" w:cs="Times New Roman"/>
          <w:sz w:val="24"/>
          <w:szCs w:val="24"/>
        </w:rPr>
        <w:t>нфраструктуры в целом относительно потребностей современных туристов и т.д.</w:t>
      </w:r>
    </w:p>
    <w:p w:rsidR="0087504D" w:rsidRDefault="0087504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Приоритеты и цели государственной политики на период 2024-2029 годов в сфере</w:t>
      </w:r>
    </w:p>
    <w:p w:rsidR="0087504D" w:rsidRDefault="006859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туризма Санкт-Петербурга, прогноз развития сферы туризма Санкт-Петербурга </w:t>
      </w:r>
      <w:r>
        <w:rPr>
          <w:rFonts w:ascii="Times New Roman" w:hAnsi="Times New Roman" w:cs="Times New Roman"/>
          <w:sz w:val="24"/>
          <w:szCs w:val="24"/>
        </w:rPr>
        <w:br/>
        <w:t xml:space="preserve">и планируемые </w:t>
      </w:r>
      <w:r>
        <w:rPr>
          <w:rFonts w:ascii="Times New Roman" w:hAnsi="Times New Roman" w:cs="Times New Roman"/>
          <w:sz w:val="24"/>
          <w:szCs w:val="24"/>
        </w:rPr>
        <w:t>макроэкономические показатели по итогам реализации государственной программы</w:t>
      </w:r>
    </w:p>
    <w:p w:rsidR="0087504D" w:rsidRDefault="0087504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Главные приоритеты и цели государственной политики в сфере туризма </w:t>
      </w:r>
      <w:r>
        <w:rPr>
          <w:rFonts w:ascii="Times New Roman" w:hAnsi="Times New Roman" w:cs="Times New Roman"/>
          <w:sz w:val="24"/>
          <w:szCs w:val="24"/>
        </w:rPr>
        <w:br/>
        <w:t>в Санкт-Петербурге на период 2024-2029 годов определены в соответствии со следующими нормативными правовыми ак</w:t>
      </w:r>
      <w:r>
        <w:rPr>
          <w:rFonts w:ascii="Times New Roman" w:hAnsi="Times New Roman" w:cs="Times New Roman"/>
          <w:sz w:val="24"/>
          <w:szCs w:val="24"/>
        </w:rPr>
        <w:t>тами Российской Федерации и Санкт-Петербурга: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24.11.1996 № 132-ФЗ «Об основах туристской </w:t>
      </w:r>
      <w:r>
        <w:rPr>
          <w:rFonts w:ascii="Times New Roman" w:hAnsi="Times New Roman" w:cs="Times New Roman"/>
          <w:sz w:val="24"/>
          <w:szCs w:val="24"/>
        </w:rPr>
        <w:t>деятельности в Российской Федерации»;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 № 204 «О национальных</w:t>
      </w:r>
      <w:r>
        <w:rPr>
          <w:rFonts w:ascii="Times New Roman" w:hAnsi="Times New Roman" w:cs="Times New Roman"/>
          <w:sz w:val="24"/>
          <w:szCs w:val="24"/>
        </w:rPr>
        <w:t xml:space="preserve"> целях и стратегических задачах развития Российской Федерации на период до 2024 года»;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>
          <w:rPr>
            <w:rFonts w:ascii="Times New Roman" w:hAnsi="Times New Roman" w:cs="Times New Roman"/>
            <w:sz w:val="24"/>
            <w:szCs w:val="24"/>
          </w:rPr>
          <w:t>Стр</w:t>
        </w:r>
        <w:r>
          <w:rPr>
            <w:rFonts w:ascii="Times New Roman" w:hAnsi="Times New Roman" w:cs="Times New Roman"/>
            <w:sz w:val="24"/>
            <w:szCs w:val="24"/>
          </w:rPr>
          <w:t>атегией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развития информационного общества в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на 2017-2030 годы, утвержденной Указом Президента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  <w:t>от 09.05.2017 № 203;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hyperlink r:id="rId15">
        <w:r>
          <w:rPr>
            <w:rFonts w:ascii="Times New Roman" w:hAnsi="Times New Roman" w:cs="Times New Roman"/>
            <w:sz w:val="24"/>
            <w:szCs w:val="24"/>
          </w:rPr>
          <w:t>направлениями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деятельности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  <w:t>на период до 2024 года, утвержденными Председателем Правительства Российской Федерации 29.09.2018;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hyperlink r:id="rId16">
        <w:r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«Экономическое развитие </w:t>
      </w:r>
      <w:r>
        <w:rPr>
          <w:rFonts w:ascii="Times New Roman" w:hAnsi="Times New Roman" w:cs="Times New Roman"/>
          <w:sz w:val="24"/>
          <w:szCs w:val="24"/>
        </w:rPr>
        <w:br/>
        <w:t>и инновационная экономика», утвержденной постановление</w:t>
      </w:r>
      <w:r>
        <w:rPr>
          <w:rFonts w:ascii="Times New Roman" w:hAnsi="Times New Roman" w:cs="Times New Roman"/>
          <w:sz w:val="24"/>
          <w:szCs w:val="24"/>
        </w:rPr>
        <w:t>м Правительства Российской Федерации от 15.04.2014 № 316;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  <w:t>от 20.09.2019 № 2129-р;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федеральной целевой программы «Развитие внутреннего и въездного туризма в Российской Федерации (2019-2025 годы)», утвержденной распоряжением Правительства Российской Федерации от 05.0</w:t>
      </w:r>
      <w:r>
        <w:rPr>
          <w:rFonts w:ascii="Times New Roman" w:hAnsi="Times New Roman" w:cs="Times New Roman"/>
          <w:sz w:val="24"/>
          <w:szCs w:val="24"/>
        </w:rPr>
        <w:t>5.2018 № 872-р;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пространственного развития Российской Федерации на период </w:t>
      </w:r>
      <w:r>
        <w:rPr>
          <w:rFonts w:ascii="Times New Roman" w:hAnsi="Times New Roman" w:cs="Times New Roman"/>
          <w:sz w:val="24"/>
          <w:szCs w:val="24"/>
        </w:rPr>
        <w:br/>
        <w:t>до 2</w:t>
      </w:r>
      <w:r>
        <w:rPr>
          <w:rFonts w:ascii="Times New Roman" w:hAnsi="Times New Roman" w:cs="Times New Roman"/>
          <w:sz w:val="24"/>
          <w:szCs w:val="24"/>
        </w:rPr>
        <w:t xml:space="preserve">025 года, утвержденной распоряжением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  <w:t>от 13.02.2019 № 207-р;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Санкт-Пе</w:t>
      </w:r>
      <w:r>
        <w:rPr>
          <w:rFonts w:ascii="Times New Roman" w:hAnsi="Times New Roman" w:cs="Times New Roman"/>
          <w:sz w:val="24"/>
          <w:szCs w:val="24"/>
        </w:rPr>
        <w:t xml:space="preserve">тербурга от 26.12.2012 № 741-126 «О туристской деятельности </w:t>
      </w:r>
      <w:r>
        <w:rPr>
          <w:rFonts w:ascii="Times New Roman" w:hAnsi="Times New Roman" w:cs="Times New Roman"/>
          <w:sz w:val="24"/>
          <w:szCs w:val="24"/>
        </w:rPr>
        <w:br/>
        <w:t>в Санкт-Петербурге» (далее – Закон Санкт-Петербурга № 741-126);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Санкт-Петербурга на период </w:t>
      </w:r>
      <w:r>
        <w:rPr>
          <w:rFonts w:ascii="Times New Roman" w:hAnsi="Times New Roman" w:cs="Times New Roman"/>
          <w:sz w:val="24"/>
          <w:szCs w:val="24"/>
        </w:rPr>
        <w:br/>
        <w:t xml:space="preserve">до 2035 года, утвержденной Законом Санкт-Петербурга от 19.12.2018 № 771-164 </w:t>
      </w:r>
      <w:r>
        <w:rPr>
          <w:rFonts w:ascii="Times New Roman" w:hAnsi="Times New Roman" w:cs="Times New Roman"/>
          <w:sz w:val="24"/>
          <w:szCs w:val="24"/>
        </w:rPr>
        <w:br/>
        <w:t>(далее – Стратегия 2035);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иными нормативными правовыми актами в сфере т</w:t>
      </w:r>
      <w:r>
        <w:rPr>
          <w:rFonts w:ascii="Times New Roman" w:hAnsi="Times New Roman" w:cs="Times New Roman"/>
          <w:sz w:val="24"/>
          <w:szCs w:val="24"/>
        </w:rPr>
        <w:t>уризма.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указанных нормативных правовых актов определяют основные направления решения многих проблем сферы туризма.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Препятствиями, стоящими на пути дальнейшего развития Санкт-Петербурга </w:t>
      </w:r>
      <w:r>
        <w:rPr>
          <w:rFonts w:ascii="Times New Roman" w:hAnsi="Times New Roman" w:cs="Times New Roman"/>
          <w:sz w:val="24"/>
          <w:szCs w:val="24"/>
        </w:rPr>
        <w:br/>
        <w:t>как туристской дестинации, являются: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развитая т</w:t>
      </w:r>
      <w:r>
        <w:rPr>
          <w:rFonts w:ascii="Times New Roman" w:hAnsi="Times New Roman" w:cs="Times New Roman"/>
          <w:sz w:val="24"/>
          <w:szCs w:val="24"/>
        </w:rPr>
        <w:t>уристская инфраструктура, представляющая собой совокупность предприятий, создающих условия для удовлетворения потребностей туризма, и предприятий, непосредственно удовлетворяющих различные потребности туристов;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недостаточная техническая оснащенность объект</w:t>
      </w:r>
      <w:r>
        <w:rPr>
          <w:rFonts w:ascii="Times New Roman" w:hAnsi="Times New Roman" w:cs="Times New Roman"/>
          <w:sz w:val="24"/>
          <w:szCs w:val="24"/>
        </w:rPr>
        <w:t>ов показа и туристской инфраструктуры в целом относительно потребностей современных туристов;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высокое относительно международного уровня качество оказываемых услуг, во многом вызванное нехваткой квалифицированных кадров;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неравномерность турист</w:t>
      </w:r>
      <w:r>
        <w:rPr>
          <w:rFonts w:ascii="Times New Roman" w:hAnsi="Times New Roman" w:cs="Times New Roman"/>
          <w:sz w:val="24"/>
          <w:szCs w:val="24"/>
        </w:rPr>
        <w:t>ского спроса, связанная с климатическими особенностями Санкт-Петербурга;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необходимость применения новых, в том числе информационных, методов продвижения туристского продукта по аналогии с международным опытом;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налаженной системы статистического </w:t>
      </w:r>
      <w:r>
        <w:rPr>
          <w:rFonts w:ascii="Times New Roman" w:hAnsi="Times New Roman" w:cs="Times New Roman"/>
          <w:sz w:val="24"/>
          <w:szCs w:val="24"/>
        </w:rPr>
        <w:t xml:space="preserve">и ведомственного учета и анализа происходящих в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туристической</w:t>
      </w:r>
      <w:r>
        <w:rPr>
          <w:rFonts w:ascii="Times New Roman" w:hAnsi="Times New Roman" w:cs="Times New Roman"/>
          <w:sz w:val="24"/>
          <w:szCs w:val="24"/>
        </w:rPr>
        <w:t xml:space="preserve"> отрасли процессов и явлений.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реализация государственной программы будет осуществляться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со следующими основными приоритетами: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статуса туризма как одного</w:t>
      </w:r>
      <w:r>
        <w:rPr>
          <w:rFonts w:ascii="Times New Roman" w:hAnsi="Times New Roman" w:cs="Times New Roman"/>
          <w:sz w:val="24"/>
          <w:szCs w:val="24"/>
        </w:rPr>
        <w:t xml:space="preserve"> из драйверов устойчивого развития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трансформация в сфере туризма;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статистических и информационно-аналитических исследований в сфере туризма;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необходимого уровня эффективности государственно-правового </w:t>
      </w:r>
      <w:r>
        <w:rPr>
          <w:rFonts w:ascii="Times New Roman" w:hAnsi="Times New Roman" w:cs="Times New Roman"/>
          <w:sz w:val="24"/>
          <w:szCs w:val="24"/>
        </w:rPr>
        <w:t>регулирования сферы туризма;</w:t>
      </w:r>
    </w:p>
    <w:p w:rsidR="0087504D" w:rsidRDefault="006859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качества, разнообразия и доступности туристского продукта </w:t>
      </w:r>
      <w:r>
        <w:rPr>
          <w:rFonts w:ascii="Times New Roman" w:hAnsi="Times New Roman" w:cs="Times New Roman"/>
          <w:sz w:val="24"/>
          <w:szCs w:val="24"/>
        </w:rPr>
        <w:br/>
        <w:t>для различных групп населения;</w:t>
      </w:r>
    </w:p>
    <w:p w:rsidR="0087504D" w:rsidRDefault="006859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городской среды, благоприятной для туризма;</w:t>
      </w:r>
    </w:p>
    <w:p w:rsidR="0087504D" w:rsidRDefault="006859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межкультурной коммуникации, межрегионального и международн</w:t>
      </w:r>
      <w:r>
        <w:rPr>
          <w:rFonts w:ascii="Times New Roman" w:hAnsi="Times New Roman" w:cs="Times New Roman"/>
          <w:sz w:val="24"/>
          <w:szCs w:val="24"/>
        </w:rPr>
        <w:t>ого взаимодействия при развитии туризма.</w:t>
      </w:r>
    </w:p>
    <w:p w:rsidR="0087504D" w:rsidRDefault="006859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Приоритеты деятельности в отдельных секторах сферы туризма описаны в разделах подпрограмм государственной программы.</w:t>
      </w:r>
    </w:p>
    <w:p w:rsidR="0087504D" w:rsidRDefault="006859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развитии сферы туризма до 2029 года прогнозируется устойчивое развитие, качественный и количеств</w:t>
      </w:r>
      <w:r>
        <w:rPr>
          <w:rFonts w:ascii="Times New Roman" w:hAnsi="Times New Roman" w:cs="Times New Roman"/>
          <w:sz w:val="24"/>
          <w:szCs w:val="24"/>
        </w:rPr>
        <w:t>енный рост. Увеличение объема турпотока и объема туристского потребления прогнозируется как за счет общего увеличения количества туристов и экскурсантов в Санкт-Петербурге, так и за счет создания новых туристских продуктов, улучшения качества предоставлени</w:t>
      </w:r>
      <w:r>
        <w:rPr>
          <w:rFonts w:ascii="Times New Roman" w:hAnsi="Times New Roman" w:cs="Times New Roman"/>
          <w:sz w:val="24"/>
          <w:szCs w:val="24"/>
        </w:rPr>
        <w:t>я туристских услуг, снижения сезонности.</w:t>
      </w:r>
    </w:p>
    <w:p w:rsidR="0087504D" w:rsidRDefault="008750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7504D">
          <w:pgSz w:w="11907" w:h="16839" w:code="9"/>
          <w:pgMar w:top="1134" w:right="851" w:bottom="1134" w:left="1701" w:header="567" w:footer="0" w:gutter="0"/>
          <w:cols w:space="720"/>
        </w:sectPr>
      </w:pPr>
    </w:p>
    <w:p w:rsidR="0087504D" w:rsidRDefault="008750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Описание целей и задач государственной программы</w:t>
      </w:r>
    </w:p>
    <w:p w:rsidR="0087504D" w:rsidRDefault="0087504D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достижения генеральной цели Стратегии 2035 – обеспечения стабильного улучшения качества жизни горожан на основе обеспечения </w:t>
      </w:r>
      <w:r>
        <w:rPr>
          <w:rFonts w:ascii="Times New Roman" w:eastAsia="Times New Roman" w:hAnsi="Times New Roman" w:cs="Times New Roman"/>
          <w:sz w:val="24"/>
          <w:szCs w:val="24"/>
        </w:rPr>
        <w:t>устойчивого экономического роста с использованием результатов инновационно-технологической деятельности и повышения глобальной конкурентоспособности Санкт-Петербурга целью государственной программы является создание системных условий для реализации стратег</w:t>
      </w:r>
      <w:r>
        <w:rPr>
          <w:rFonts w:ascii="Times New Roman" w:eastAsia="Times New Roman" w:hAnsi="Times New Roman" w:cs="Times New Roman"/>
          <w:sz w:val="24"/>
          <w:szCs w:val="24"/>
        </w:rPr>
        <w:t>ической роли устойчивого туризма в экономическом и социокультурном развитии Санкт-Петербурга.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этой цели планируется через решение следующих задач, указанных в паспорте государственной программы, охватывающих всю проблематику сферы туризма в Санк</w:t>
      </w:r>
      <w:r>
        <w:rPr>
          <w:rFonts w:ascii="Times New Roman" w:eastAsia="Times New Roman" w:hAnsi="Times New Roman" w:cs="Times New Roman"/>
          <w:sz w:val="24"/>
          <w:szCs w:val="24"/>
        </w:rPr>
        <w:t>т-Петербурге.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задачи ориентированы на развитие Санкт-Петербурга как одной из наиболее привлекательных на мировом уровне туристских дестинаций, что в конечном итоге призвано оказать позитивное влияние на уровень социально-экономического развития Санк</w:t>
      </w:r>
      <w:r>
        <w:rPr>
          <w:rFonts w:ascii="Times New Roman" w:eastAsia="Times New Roman" w:hAnsi="Times New Roman" w:cs="Times New Roman"/>
          <w:sz w:val="24"/>
          <w:szCs w:val="24"/>
        </w:rPr>
        <w:t>т-Петербурга и качество жизни его населения.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Задача 1 обусловлена положениями государственной программы Российской Федерации </w:t>
      </w:r>
      <w:hyperlink r:id="rId22">
        <w:r>
          <w:rPr>
            <w:rFonts w:ascii="Times New Roman" w:eastAsia="Times New Roman" w:hAnsi="Times New Roman" w:cs="Times New Roman"/>
            <w:sz w:val="24"/>
            <w:szCs w:val="24"/>
          </w:rPr>
          <w:t>«Развитие культуры»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15.04.2014 № 317, и государственной программы Российской Федерации «Экономическое развитие и инновационная экономика», утвержденной постан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овлением Правительства Российской Федерации от 15.04.2014 № 316, а также </w:t>
      </w:r>
      <w:hyperlink r:id="rId23">
        <w:r>
          <w:rPr>
            <w:rFonts w:ascii="Times New Roman" w:eastAsia="Times New Roman" w:hAnsi="Times New Roman" w:cs="Times New Roman"/>
            <w:sz w:val="24"/>
            <w:szCs w:val="24"/>
          </w:rPr>
          <w:t>Стратегией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</w:t>
      </w:r>
      <w:r>
        <w:rPr>
          <w:rFonts w:ascii="Times New Roman" w:eastAsia="Times New Roman" w:hAnsi="Times New Roman" w:cs="Times New Roman"/>
          <w:sz w:val="24"/>
          <w:szCs w:val="24"/>
        </w:rPr>
        <w:t>ия туризма в Российской Федерации на период до 2035 года, утвержденной распоряжением Правительства Российской Федерации от 20.09.2019 № 2129-р, в которых одним из факторов, препятствующих развитию туризма, определен низкий уровень развития туристской инфра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структуры.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Задачи 1 будет обеспечено посредством реализации мероприятий подпрограммы 1, направленной на комплексное развитие туристской территории и обеспечивающей качественное преобразование туристской инфраструктуры Санкт-Петербурга. Подпрограмма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включает мероприятия по определению состава и мест размещения объектов туристской инфраструктуры в Санкт-Петербурге, в том числе в перспективе. Также в рамках подпрограммы 1 планируется ведение работы по привлечению инвестиций и сопровождению проектов Г</w:t>
      </w:r>
      <w:r>
        <w:rPr>
          <w:rFonts w:ascii="Times New Roman" w:eastAsia="Times New Roman" w:hAnsi="Times New Roman" w:cs="Times New Roman"/>
          <w:sz w:val="24"/>
          <w:szCs w:val="24"/>
        </w:rPr>
        <w:t>ЧП в сфере туризма.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 2 направлена на развитие в Санкт-Петербурге различных видов туризма, в первую очередь приоритетных для Санкт-Петербурга. Из приоритетных направлений развития туризма в Санкт-Петербурге особую значимость имеют деловой туризм и кон</w:t>
      </w:r>
      <w:r>
        <w:rPr>
          <w:rFonts w:ascii="Times New Roman" w:eastAsia="Times New Roman" w:hAnsi="Times New Roman" w:cs="Times New Roman"/>
          <w:sz w:val="24"/>
          <w:szCs w:val="24"/>
        </w:rPr>
        <w:t>грессно-выставочная деятельность, что предопределило постановку отдельной задачи государственной программы.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 3 посвящена вопросам стабильного развития делового туризма и конгрессно-выставочной деятельности. В частности, в целях решения Задачи 3 созда</w:t>
      </w:r>
      <w:r>
        <w:rPr>
          <w:rFonts w:ascii="Times New Roman" w:eastAsia="Times New Roman" w:hAnsi="Times New Roman" w:cs="Times New Roman"/>
          <w:sz w:val="24"/>
          <w:szCs w:val="24"/>
        </w:rPr>
        <w:t>но и осуществляет свою деятельность ГБУ «КВБ».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 2 и Задача 3 решаются в рамках реализации подпрограммы 2, включающей в себя мероприятия, направленные: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развитие культурно-познавательного туризма, который остается превалирующим в Санкт-Петербурге, б</w:t>
      </w:r>
      <w:r>
        <w:rPr>
          <w:rFonts w:ascii="Times New Roman" w:eastAsia="Times New Roman" w:hAnsi="Times New Roman" w:cs="Times New Roman"/>
          <w:sz w:val="24"/>
          <w:szCs w:val="24"/>
        </w:rPr>
        <w:t>лагодаря уникальной архитектурно-пространственной среде, прекрасно иллюстрирующей богатое культурно-историческое наследие Санкт-Петербурга;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развитие событийного туризма, способствующего привлечению туристов в Санкт-Петербург вне зависимости от сезона;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развитие делового туризма и конгрессно-выставочной деятельности, являющихся значимым элементом инвестиционной политики;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развитие медицинского туризма, требующего в настоящее время формирования спроса на услуги медицинских учреждений Санкт-Петербурга ч</w:t>
      </w:r>
      <w:r>
        <w:rPr>
          <w:rFonts w:ascii="Times New Roman" w:eastAsia="Times New Roman" w:hAnsi="Times New Roman" w:cs="Times New Roman"/>
          <w:sz w:val="24"/>
          <w:szCs w:val="24"/>
        </w:rPr>
        <w:t>ерез их продвижение в Российской Федерации и за рубежом, на поиск индивидуальных клиентов, построение сети компаний-партнеров и создание службы поддержки и сопровождения медицинских туристов;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развитие туризма для людей с ограниченными физическими возмож</w:t>
      </w:r>
      <w:r>
        <w:rPr>
          <w:rFonts w:ascii="Times New Roman" w:eastAsia="Times New Roman" w:hAnsi="Times New Roman" w:cs="Times New Roman"/>
          <w:sz w:val="24"/>
          <w:szCs w:val="24"/>
        </w:rPr>
        <w:t>ностями, нацеленного на обеспечение доступности туристского продукта Санкт-Петербурга для инвалидов и иных маломобильных групп населения;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разработку и внедрение мер стимулирования развития туристского предложения.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Задача 4 направлена на внедрение </w:t>
      </w:r>
      <w:r>
        <w:rPr>
          <w:rFonts w:ascii="Times New Roman" w:eastAsia="Times New Roman" w:hAnsi="Times New Roman" w:cs="Times New Roman"/>
          <w:sz w:val="24"/>
          <w:szCs w:val="24"/>
        </w:rPr>
        <w:t>системного подхода к формированию и продвижению территориального бренда Санкт-Петербурга как инструмента повышения туристской привлекательности Санкт-Петербурга и стимулирования спроса на туристский продукт. Решить эту задачу призвана подпрограмма 3, включ</w:t>
      </w:r>
      <w:r>
        <w:rPr>
          <w:rFonts w:ascii="Times New Roman" w:eastAsia="Times New Roman" w:hAnsi="Times New Roman" w:cs="Times New Roman"/>
          <w:sz w:val="24"/>
          <w:szCs w:val="24"/>
        </w:rPr>
        <w:t>ающая в себя следующие мероприятия: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комплекса мер по продвижению туристского потенциала Санкт-Петербурга;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информационной и коммуникационной систем в сфере туризма Санкт-Петербурга;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визового режима;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привлек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ательной, безопасной и комфортной для пребывания туристов городской среды Санкт-Петербурга;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реализацию мероприятий по развитию кадрового потенциала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туристической </w:t>
      </w:r>
      <w:r>
        <w:rPr>
          <w:rFonts w:ascii="Times New Roman" w:eastAsia="Times New Roman" w:hAnsi="Times New Roman" w:cs="Times New Roman"/>
          <w:sz w:val="24"/>
          <w:szCs w:val="24"/>
        </w:rPr>
        <w:t>отрасли;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аналитических исследований в отрасли туризма Санкт-Петербурга.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 5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правлена на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 обеспечения устойчивого развития сферы туризма </w:t>
      </w:r>
      <w:r>
        <w:rPr>
          <w:rFonts w:ascii="Times New Roman" w:eastAsia="Times New Roman" w:hAnsi="Times New Roman" w:cs="Times New Roman"/>
          <w:sz w:val="24"/>
          <w:szCs w:val="24"/>
        </w:rPr>
        <w:t>в Санкт-Петербурге. Решение этой задачи предусмотрено отдельными мероприятиями подпрограммы 2 и подпрограммы 3.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указанных задач и достижение главной цели государственной программы позволит к 2029 году достигнуть следующих основных результатов: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</w:t>
      </w:r>
      <w:r>
        <w:rPr>
          <w:rFonts w:ascii="Times New Roman" w:eastAsia="Times New Roman" w:hAnsi="Times New Roman" w:cs="Times New Roman"/>
          <w:sz w:val="24"/>
          <w:szCs w:val="24"/>
        </w:rPr>
        <w:t>ичение доли туризма в ВРП до 2,37 % в 2029 году;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перевод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туристической </w:t>
      </w:r>
      <w:r>
        <w:rPr>
          <w:rFonts w:ascii="Times New Roman" w:eastAsia="Times New Roman" w:hAnsi="Times New Roman" w:cs="Times New Roman"/>
          <w:sz w:val="24"/>
          <w:szCs w:val="24"/>
        </w:rPr>
        <w:t>отрасли на инновационный путь развития, укрепление роли туризма как драйвера роста экономики Санкт-Петербурга, в том числе через широкое внедрение информационных технологий;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увеличение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социальной роли туризма в развитии Санкт-Петербурга;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необходимого уровня эффективности государственно-правового регулирования сферы туризма;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качества, разнообразия, эффективности и доступности услуг в сфере туризма;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рост внутренних и в</w:t>
      </w:r>
      <w:r>
        <w:rPr>
          <w:rFonts w:ascii="Times New Roman" w:eastAsia="Times New Roman" w:hAnsi="Times New Roman" w:cs="Times New Roman"/>
          <w:sz w:val="24"/>
          <w:szCs w:val="24"/>
        </w:rPr>
        <w:t>ъездных туристских потоков, включая увеличение числа туристов в Санкт-Петербурге до 9,87 млн. человек к 2029 году и числа ночевок в гостиницах и аналогичных средствах размещения Санкт-Петербурга до 25,0 млн. единиц;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укрепление статуса Санкт-Петербурга как </w:t>
      </w:r>
      <w:r>
        <w:rPr>
          <w:rFonts w:ascii="Times New Roman" w:eastAsia="Times New Roman" w:hAnsi="Times New Roman" w:cs="Times New Roman"/>
          <w:sz w:val="24"/>
          <w:szCs w:val="24"/>
        </w:rPr>
        <w:t>туристской дестинации мирового уровня;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пребывания туристов в Санкт-Петербурге;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7504D">
          <w:pgSz w:w="11907" w:h="16839" w:code="9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повышение информированности иностранных и российских граждан о возможностях и преимуществах туристско-рекреационного комплекса </w:t>
      </w:r>
      <w:r>
        <w:rPr>
          <w:rFonts w:ascii="Times New Roman" w:eastAsia="Times New Roman" w:hAnsi="Times New Roman" w:cs="Times New Roman"/>
          <w:sz w:val="24"/>
          <w:szCs w:val="24"/>
        </w:rPr>
        <w:t>Санкт-Петербурга.</w:t>
      </w:r>
    </w:p>
    <w:p w:rsidR="0087504D" w:rsidRDefault="0087504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052"/>
        <w:gridCol w:w="1132"/>
        <w:gridCol w:w="1017"/>
        <w:gridCol w:w="1018"/>
        <w:gridCol w:w="1002"/>
        <w:gridCol w:w="1018"/>
        <w:gridCol w:w="1017"/>
        <w:gridCol w:w="1017"/>
        <w:gridCol w:w="1691"/>
        <w:gridCol w:w="344"/>
        <w:gridCol w:w="673"/>
        <w:gridCol w:w="559"/>
        <w:gridCol w:w="1591"/>
        <w:gridCol w:w="57"/>
      </w:tblGrid>
      <w:tr w:rsidR="0087504D">
        <w:trPr>
          <w:trHeight w:val="115"/>
        </w:trPr>
        <w:tc>
          <w:tcPr>
            <w:tcW w:w="15632" w:type="dxa"/>
            <w:gridSpan w:val="15"/>
          </w:tcPr>
          <w:p w:rsidR="0087504D" w:rsidRDefault="0087504D"/>
        </w:tc>
      </w:tr>
      <w:tr w:rsidR="0087504D">
        <w:trPr>
          <w:trHeight w:val="329"/>
        </w:trPr>
        <w:tc>
          <w:tcPr>
            <w:tcW w:w="15575" w:type="dxa"/>
            <w:gridSpan w:val="14"/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5. Целевые показатели государственной программы и индикаторы подпрограмм и отдельных мероприятий</w:t>
            </w:r>
          </w:p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115"/>
        </w:trPr>
        <w:tc>
          <w:tcPr>
            <w:tcW w:w="15632" w:type="dxa"/>
            <w:gridSpan w:val="15"/>
          </w:tcPr>
          <w:p w:rsidR="0087504D" w:rsidRDefault="0087504D"/>
        </w:tc>
      </w:tr>
      <w:tr w:rsidR="0087504D">
        <w:trPr>
          <w:trHeight w:val="229"/>
        </w:trPr>
        <w:tc>
          <w:tcPr>
            <w:tcW w:w="13425" w:type="dxa"/>
            <w:gridSpan w:val="12"/>
          </w:tcPr>
          <w:p w:rsidR="0087504D" w:rsidRDefault="0087504D"/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Таблица 1</w:t>
            </w:r>
          </w:p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115"/>
        </w:trPr>
        <w:tc>
          <w:tcPr>
            <w:tcW w:w="15632" w:type="dxa"/>
            <w:gridSpan w:val="15"/>
          </w:tcPr>
          <w:p w:rsidR="0087504D" w:rsidRDefault="0087504D"/>
        </w:tc>
      </w:tr>
      <w:tr w:rsidR="0087504D">
        <w:trPr>
          <w:trHeight w:val="788"/>
        </w:trPr>
        <w:tc>
          <w:tcPr>
            <w:tcW w:w="15575" w:type="dxa"/>
            <w:gridSpan w:val="14"/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5.1. Целевые показатели государственной программы</w:t>
            </w:r>
          </w:p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114"/>
        </w:trPr>
        <w:tc>
          <w:tcPr>
            <w:tcW w:w="15575" w:type="dxa"/>
            <w:gridSpan w:val="14"/>
            <w:tcBorders>
              <w:bottom w:val="single" w:sz="4" w:space="0" w:color="000000"/>
            </w:tcBorders>
          </w:tcPr>
          <w:p w:rsidR="0087504D" w:rsidRDefault="0087504D"/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44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п/п</w:t>
            </w:r>
          </w:p>
        </w:tc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целевого показателя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Единица измерения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целевого показателя по годам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Ответственный за достижение целевого показателя</w:t>
            </w:r>
          </w:p>
        </w:tc>
        <w:tc>
          <w:tcPr>
            <w:tcW w:w="2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Принадлежность целевого показателя к показателям Стратегии 2035, региональных проектов, Указа Президента РФ № 68, финансовым соглашениям и нефинансовым соглашениям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476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2024 г.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2025 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2026 г.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2027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2028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2029 г.</w:t>
            </w:r>
          </w:p>
        </w:tc>
        <w:tc>
          <w:tcPr>
            <w:tcW w:w="20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8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туризма в ВРП (далее - ЦП 1)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2,28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2,32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2,37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туристов  в Санкт-Петербурге (далее - ЦП 2)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млн чел.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7,13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8,64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9,23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9,87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Темп роста туристских прибытий в Санкт-Петербург (далее - ЦП 3)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106,4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106,8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Стратегия 2035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Число ночевок в гостиницах  и аналогичных средствах размещения (далее - ЦП 4)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млн ед.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25,0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Коэффициент использования гостиничного фонда (далее - ЦП 5)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45,0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удовлетворенности граждан Российской Федерации качеством предоставления туристских услуг в Санкт-Петербурге (далее - ЦП 6)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559"/>
        </w:trPr>
        <w:tc>
          <w:tcPr>
            <w:tcW w:w="15575" w:type="dxa"/>
            <w:gridSpan w:val="1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5.2. Индикаторы подпрограмм государственной программы</w:t>
            </w:r>
          </w:p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229"/>
        </w:trPr>
        <w:tc>
          <w:tcPr>
            <w:tcW w:w="13425" w:type="dxa"/>
            <w:gridSpan w:val="12"/>
          </w:tcPr>
          <w:p w:rsidR="0087504D" w:rsidRDefault="0087504D"/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Таблица 2</w:t>
            </w:r>
          </w:p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114"/>
        </w:trPr>
        <w:tc>
          <w:tcPr>
            <w:tcW w:w="15575" w:type="dxa"/>
            <w:gridSpan w:val="14"/>
            <w:tcBorders>
              <w:bottom w:val="single" w:sz="4" w:space="0" w:color="000000"/>
            </w:tcBorders>
          </w:tcPr>
          <w:p w:rsidR="0087504D" w:rsidRDefault="0087504D"/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445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№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п/п</w:t>
            </w:r>
          </w:p>
        </w:tc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индикатора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Единица измерения</w:t>
            </w:r>
          </w:p>
        </w:tc>
        <w:tc>
          <w:tcPr>
            <w:tcW w:w="6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индикатора по годам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Ответственный за достижение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индикатора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 xml:space="preserve">Наименование целевого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 xml:space="preserve">показателя, на достижение которого оказывает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влияние индикатор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Принадлежн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ость индикатора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 показателям Стратегии 2035, региональных проектов, Указа Президента РФ № 68, финансовым соглашениям и нефинансовым соглашениям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2263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2024 г.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2025 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2026 г.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2027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2028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2029 г.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5"/>
        </w:trPr>
        <w:tc>
          <w:tcPr>
            <w:tcW w:w="155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Подпрограмма №1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Пассажиропоток круизных речных линий (далее - Индикатор 1.1)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тыс. чел.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80,3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81,3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1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3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койкомест  в коллективных средствах размещения (далее - Индикатор 1.2)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106200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106300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106450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106600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106750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средств размещения, классифицированных  в соответствии  с системой классификации гостиниц и иных средств размещения (далее - Индикатор 1.3)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инвестиционных проектов по созданию гостиниц (далее - Индикатор 1.4)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КИ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8"/>
        </w:trPr>
        <w:tc>
          <w:tcPr>
            <w:tcW w:w="155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Подпрограмма №2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2.1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Прирост численности туристов – участников событийных мероприятий, организуемых КРТ,  по отношению к году, предшествующему отчетному (далее - Индикатор 2.1)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1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2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2.2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Прирост количества конгрессно-выставочных мероприятий, проводимых  в Санкт-Петербурге,  по отношению к году, предшествующему отчетному (далее - Индикатор 2.2)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1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2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2.3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Прирост количества участников деловых конгрессно-выставочных мероприятий, проведенных  в Санкт-Петербурге (далее -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Индикатор 2.3)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1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2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2.4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Прирост количества объектов туристской инфраструктуры, включенных  в подсистему «Доступная среда» автоматизированной информационной системы «Электронный социальный регистр населения  Санкт-Петербурга»,  на которых обеспечена полная доступность объекта 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едоставляемых услуг, по отношению к году, предшествующему отчетному (далее - Индикатор 2.4)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155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Подпрограмма №3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российских туристов, зарегистрированных  в классифицированных коллективных средствах размещения  Санкт-Петербурга (далее - Индикатор 3.1)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тыс. чел.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4880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1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2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3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4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Количество иностранных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туристов, зарегистрированных в классифицированных средствах размещения Санкт-Петербурга (далее - Индикатор 3.2)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тыс. чел.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1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2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3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4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Объем платных услуг, оказанных населению  в сфере внутреннего  и въездного туризма (включая услуги турфирм, гостиниц  и аналогичных средств размещения), а также выездного туризма  (в части услуг, оказанных резидентами российской экономики выезжающим  в зар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убежные туры туристам) (далее - Индикатор 3.3)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млн руб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29700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32200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38150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41800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45850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1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3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4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Темп роста объема платных услуг, предоставляемых гостиницами  и аналогичными средствами размещения  (далее - Индикатор 3.4)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108,7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109,7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1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2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3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4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Стратегия 2035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3.5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Количество реализованных образовательных программ отрасли туризма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российскими и международными стандартами  (далее - Индикатор 3.5)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Ед.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КРТ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ЦП 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</w:tbl>
    <w:p w:rsidR="0087504D" w:rsidRDefault="0087504D">
      <w:pPr>
        <w:sectPr w:rsidR="0087504D">
          <w:pgSz w:w="16839" w:h="11907" w:orient="landscape" w:code="9"/>
          <w:pgMar w:top="567" w:right="567" w:bottom="517" w:left="567" w:header="567" w:footer="517" w:gutter="0"/>
          <w:cols w:space="720"/>
        </w:sectPr>
      </w:pPr>
    </w:p>
    <w:p w:rsidR="0087504D" w:rsidRDefault="0087504D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3840"/>
        <w:gridCol w:w="1691"/>
        <w:gridCol w:w="2708"/>
        <w:gridCol w:w="1576"/>
        <w:gridCol w:w="1576"/>
        <w:gridCol w:w="1590"/>
        <w:gridCol w:w="1806"/>
      </w:tblGrid>
      <w:tr w:rsidR="0087504D">
        <w:trPr>
          <w:trHeight w:val="229"/>
        </w:trPr>
        <w:tc>
          <w:tcPr>
            <w:tcW w:w="15575" w:type="dxa"/>
            <w:gridSpan w:val="8"/>
          </w:tcPr>
          <w:p w:rsidR="0087504D" w:rsidRDefault="0087504D"/>
        </w:tc>
      </w:tr>
      <w:tr w:rsidR="0087504D">
        <w:trPr>
          <w:trHeight w:val="444"/>
        </w:trPr>
        <w:tc>
          <w:tcPr>
            <w:tcW w:w="15575" w:type="dxa"/>
            <w:gridSpan w:val="8"/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6. Информация о налоговых расходах, соответствующих целям государственной программы</w:t>
            </w:r>
          </w:p>
        </w:tc>
      </w:tr>
      <w:tr w:rsidR="0087504D">
        <w:trPr>
          <w:trHeight w:val="230"/>
        </w:trPr>
        <w:tc>
          <w:tcPr>
            <w:tcW w:w="15575" w:type="dxa"/>
            <w:gridSpan w:val="8"/>
            <w:tcBorders>
              <w:bottom w:val="single" w:sz="4" w:space="0" w:color="000000"/>
            </w:tcBorders>
          </w:tcPr>
          <w:p w:rsidR="0087504D" w:rsidRDefault="0087504D"/>
        </w:tc>
      </w:tr>
      <w:tr w:rsidR="0087504D">
        <w:trPr>
          <w:trHeight w:val="788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№ 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п/п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налогового расхода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Основания налогового расхода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Наименование целевых показателей государственной программы, индикаторов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подпрограмм и отдельных мероприятий, на достижение которых оказывают влияние соответствующие налоговые расходы</w:t>
            </w:r>
          </w:p>
        </w:tc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Оценка объемов налоговых расходов, соответствующих целям государственной программы, тыс. руб.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Куратор налогового расхода</w:t>
            </w:r>
          </w:p>
        </w:tc>
      </w:tr>
      <w:tr w:rsidR="0087504D">
        <w:trPr>
          <w:trHeight w:val="2478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2024 г.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2025 г.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2026 г.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</w:tr>
      <w:tr w:rsidR="0087504D">
        <w:trPr>
          <w:trHeight w:val="34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87504D">
        <w:trPr>
          <w:trHeight w:val="203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</w:tcMar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</w:tcMar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Освобождение от уплаты налога на имущество организаций для организаций в отношении новых (не бывших ранее в эксплуатации) зданий выставочных залов общей площадью не менее 35000 кв.м, принятых ими к бухгалтерскому учету и введенных в эксплуатацию на террито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рии Санкт-Петербурга не ранее 01.01.2019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</w:tcMar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Подпункт 28 пункта 1 статьи 11-1 Закона Санкт-Петербурга от 28.06.1995 № 81-11 "О налоговых льготах" (далее - Закон N 81-11)</w:t>
            </w:r>
          </w:p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</w:tcMar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Индикатор 2.2, Индикатор 2.3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КРТ</w:t>
            </w:r>
          </w:p>
        </w:tc>
      </w:tr>
      <w:tr w:rsidR="0087504D">
        <w:trPr>
          <w:trHeight w:val="202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</w:tcMar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</w:tcMar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Уменьшение суммы земельного налога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(уплата налога в размере 33,33% от исчисленной суммы налога) в отношении земельных участков, предназначенных и используемых для размещения объектов рекреационного, лечебно-оздоровительного, развлекательного назначения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</w:tcMar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Абзац 2 подпункта 4 пункта 3-3 статьи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11-7-1 Закона № 81-11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</w:tcMar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ЦП 1, ЦП 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47 545,0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48 020,0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48 501,0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КРТ</w:t>
            </w:r>
          </w:p>
        </w:tc>
      </w:tr>
    </w:tbl>
    <w:p w:rsidR="0087504D" w:rsidRDefault="0087504D">
      <w:pPr>
        <w:sectPr w:rsidR="0087504D">
          <w:pgSz w:w="16839" w:h="11907" w:orient="landscape" w:code="9"/>
          <w:pgMar w:top="567" w:right="567" w:bottom="517" w:left="567" w:header="567" w:footer="517" w:gutter="0"/>
          <w:cols w:space="720"/>
        </w:sectPr>
      </w:pPr>
    </w:p>
    <w:p w:rsidR="0087504D" w:rsidRDefault="0087504D"/>
    <w:p w:rsidR="0087504D" w:rsidRDefault="00685926">
      <w:pPr>
        <w:widowControl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Перечень и краткое описание подпрограмм</w:t>
      </w:r>
    </w:p>
    <w:p w:rsidR="0087504D" w:rsidRDefault="00685926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программы с обоснованием их выделения</w:t>
      </w:r>
    </w:p>
    <w:p w:rsidR="0087504D" w:rsidRDefault="0087504D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программа состоит из трех подпрограмм, направленных </w:t>
      </w:r>
      <w:r>
        <w:rPr>
          <w:rFonts w:ascii="Times New Roman" w:eastAsia="Times New Roman" w:hAnsi="Times New Roman" w:cs="Times New Roman"/>
          <w:sz w:val="24"/>
          <w:szCs w:val="24"/>
        </w:rPr>
        <w:t>на решение задач государственной программы.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1 направлена на решение задачи по содействию строительству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модернизации объектов туристской и сопутствующей инфраструктур государственной программы.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Сфера реализации подпрограммы 1 охватывает </w:t>
      </w:r>
      <w:r>
        <w:rPr>
          <w:rFonts w:ascii="Times New Roman" w:eastAsia="Times New Roman" w:hAnsi="Times New Roman" w:cs="Times New Roman"/>
          <w:sz w:val="24"/>
          <w:szCs w:val="24"/>
        </w:rPr>
        <w:t>вопросы планирования и обеспечения комплексного развития туристской территории, предусматривающего развитие туристской инфраструктуры во взаимосвязи с развитием коммунальной и транспортной инфраструктур. В рамках подпрограммы 1 планируется ведение работы п</w:t>
      </w:r>
      <w:r>
        <w:rPr>
          <w:rFonts w:ascii="Times New Roman" w:eastAsia="Times New Roman" w:hAnsi="Times New Roman" w:cs="Times New Roman"/>
          <w:sz w:val="24"/>
          <w:szCs w:val="24"/>
        </w:rPr>
        <w:t>о привлечению инвестиций и реализации проектов ГЧП в сфере туризма, учет классифицированных коллективных средств размещения и индивидуальных средств размещения.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2 направлена на решение следующих задач государственной программы: расширение спек</w:t>
      </w:r>
      <w:r>
        <w:rPr>
          <w:rFonts w:ascii="Times New Roman" w:eastAsia="Times New Roman" w:hAnsi="Times New Roman" w:cs="Times New Roman"/>
          <w:sz w:val="24"/>
          <w:szCs w:val="24"/>
        </w:rPr>
        <w:t>тра предоставляемых туристских услуг, создание системных условий для интенсивного развития конгрессно-выставочной деятельности и делового туризма, создание благоприятных условий для устойчивого развития туризма.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Сфера реализации подпрограммы 2 охватывает: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культурно-познавательного туризма;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событийного туризма;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делового туризма и конгрессно-выставочной деятельности;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медицинского туризма;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туризма для людей с ограниченными физическими возможностями;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детского туризма.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3 направлена на решение задач по эффективной интеграции метабренда Санкт-Петербурга в экономическое и социокультурное пространство Российской Федерации и за рубежом и созданию благоприятных условий для устойчивого развития ту</w:t>
      </w:r>
      <w:r>
        <w:rPr>
          <w:rFonts w:ascii="Times New Roman" w:eastAsia="Times New Roman" w:hAnsi="Times New Roman" w:cs="Times New Roman"/>
          <w:sz w:val="24"/>
          <w:szCs w:val="24"/>
        </w:rPr>
        <w:t>ризма.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Сфера реализации подпрограммы 3 охватывает: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реализацию комплекса мер по продвижению туристского потенциала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Санкт-Петербурга;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информационной и коммуникационной систем в сфере туризма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Санкт-Петербурга;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визового режима;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sz w:val="24"/>
          <w:szCs w:val="24"/>
        </w:rPr>
        <w:t>лизацию мероприятий по развитию системы дополнительного образования, повышения квалификации и профессиональной переподготовки кадров;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привлекательной, безопасной и комфортной для пребывания туристов городской среды Санкт-Петербурга;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аналитических исследований в отрасли туризма Санкт-Петербурга.</w:t>
      </w:r>
    </w:p>
    <w:p w:rsidR="0087504D" w:rsidRDefault="0087504D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87504D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87504D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87504D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7504D">
          <w:pgSz w:w="11907" w:h="16839" w:code="9"/>
          <w:pgMar w:top="1134" w:right="850" w:bottom="1134" w:left="1701" w:header="708" w:footer="708" w:gutter="0"/>
          <w:cols w:space="720"/>
        </w:sectPr>
      </w:pPr>
    </w:p>
    <w:p w:rsidR="0087504D" w:rsidRDefault="0087504D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708"/>
        <w:gridCol w:w="1805"/>
        <w:gridCol w:w="1362"/>
        <w:gridCol w:w="1690"/>
        <w:gridCol w:w="1018"/>
        <w:gridCol w:w="1017"/>
        <w:gridCol w:w="1017"/>
        <w:gridCol w:w="1018"/>
        <w:gridCol w:w="1002"/>
        <w:gridCol w:w="344"/>
        <w:gridCol w:w="674"/>
        <w:gridCol w:w="1476"/>
        <w:gridCol w:w="57"/>
      </w:tblGrid>
      <w:tr w:rsidR="0087504D">
        <w:trPr>
          <w:trHeight w:val="1247"/>
        </w:trPr>
        <w:tc>
          <w:tcPr>
            <w:tcW w:w="15575" w:type="dxa"/>
            <w:gridSpan w:val="13"/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8. Информация об источниках финансирования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государственной программы</w:t>
            </w:r>
          </w:p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8.1. Объем финансирования государственной программы Санкт-Петербурга</w:t>
            </w:r>
          </w:p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100"/>
        </w:trPr>
        <w:tc>
          <w:tcPr>
            <w:tcW w:w="15632" w:type="dxa"/>
            <w:gridSpan w:val="14"/>
          </w:tcPr>
          <w:p w:rsidR="0087504D" w:rsidRDefault="0087504D"/>
        </w:tc>
      </w:tr>
      <w:tr w:rsidR="0087504D">
        <w:trPr>
          <w:trHeight w:val="229"/>
        </w:trPr>
        <w:tc>
          <w:tcPr>
            <w:tcW w:w="13425" w:type="dxa"/>
            <w:gridSpan w:val="11"/>
            <w:tcBorders>
              <w:bottom w:val="single" w:sz="4" w:space="0" w:color="000000"/>
            </w:tcBorders>
          </w:tcPr>
          <w:p w:rsidR="0087504D" w:rsidRDefault="0087504D"/>
        </w:tc>
        <w:tc>
          <w:tcPr>
            <w:tcW w:w="21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Таблица 1</w:t>
            </w:r>
          </w:p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п/п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государственной программы, подпрограммы, отдельного мероприятия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 источника финансирования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Часть перечня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Тип структурного элемента</w:t>
            </w:r>
          </w:p>
        </w:tc>
        <w:tc>
          <w:tcPr>
            <w:tcW w:w="6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Объем финансирования по годам, тыс. руб.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ИТОГО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673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2024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2025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2026 г.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2027 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2028 г.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2029 г.</w:t>
            </w: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2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673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Государственная программа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673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018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203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Концессионные соглашения и соглашения о государственно-частном партнерстве, не включенные в адресную инвестиционную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3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2 520 857,5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1 918 158,0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1 972 458,1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2 051 356,2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2 133 322,4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2 218 479,2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12 814 631,4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2 520 857,5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1 918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158,0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1 972 458,1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2 051 356,2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2 133 322,4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2 218 479,2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12 814 631,4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673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Федеральный бюджет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673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Региональные проекты, не входящие в состав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018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1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Концессионные соглашения и соглашения о государственно-частном партнерстве, не включенные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920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30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30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29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Внебюджетные средства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Проектная часть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Региональные проекты, не входящие в состав национальных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29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018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Концессионные соглашения и соглашения о государственно-частном партнерстве, не включенные в адресную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29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2 520 857,5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1 918 158,0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1 972 458,1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2 051 356,2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2 133 322,4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2 218 479,2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12 814 631,4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2 520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857,5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1 918 158,0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1 972 458,1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2 051 356,2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2 133 322,4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2 218 479,2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12 814 631,4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673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Подпрограмма 1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67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Региональные проекты,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017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2035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Концессионные соглашения и соглашения о государственно-частном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29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673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Федеральный бюджет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67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017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Адресная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2035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29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30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Внебюджетные средства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3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часть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30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Адресная инвестиционная программа, не относящаяся 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017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29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67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Подпрограмма 2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22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4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002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203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29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Процессная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1 543 963,0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908 456,7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922 972,2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959 891,0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998 206,6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1 037 974,8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6 371 464,3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1 543 963,0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908 456,7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922 972,2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959 891,0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998 206,6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1 037 974,8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6 371 464,3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674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Федеральный бюджет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Региональные проекты, входящие в состав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673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017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203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29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Внебюджетные средства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30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Проектная часть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Региональные проекты,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14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230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0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29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017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Концессионные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30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1 543 963,0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456,7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922 972,2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959 891,0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998 206,6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1 037 974,8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6 371 464,3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1 543 963,0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908 456,7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922 972,2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959 891,0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998 206,6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1 037 974,8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6 371 464,3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673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Подпрограмма 3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Региональные проекты, входящие в состав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688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003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203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3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976 894,5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1 009 701,3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1 049 485,9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1 091 465,2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1 135 115,8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1 180 504,4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6 443 167,1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976 894,5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1 009 701,3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1 049 485,9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1 091 465,2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1 135 115,8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1 180 504,4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6 443 167,1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673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Федеральный бюджет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Проектная часть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Региональные проекты,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688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003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690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87504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30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Внебюджетные средства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Процессная 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29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Проектная часть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Региональные проекты, входящие в состав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30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Адресная инвестиционная программа, не относящаяся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017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Концессионные соглашения и соглашения о государственно-частном партнерстве, не включенные в адресную инвестиционную программу и не относящиеся к региональным проектам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Процессная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976 894,5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1 009 701,3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1 049 485,9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1 091 465,2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1 135 115,8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1 180 504,4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6 443 167,1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29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87504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976 894,5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1 009 701,3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1 049 485,9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1 091 465,2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1 135 115,8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1 180 504,4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6 443 167,1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</w:tbl>
    <w:p w:rsidR="0087504D" w:rsidRDefault="0087504D">
      <w:pPr>
        <w:sectPr w:rsidR="0087504D">
          <w:pgSz w:w="16839" w:h="11907" w:orient="landscape" w:code="9"/>
          <w:pgMar w:top="567" w:right="567" w:bottom="517" w:left="567" w:header="567" w:footer="517" w:gutter="0"/>
          <w:cols w:space="720"/>
        </w:sectPr>
      </w:pPr>
    </w:p>
    <w:p w:rsidR="0087504D" w:rsidRDefault="0087504D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725"/>
        <w:gridCol w:w="2938"/>
        <w:gridCol w:w="1132"/>
        <w:gridCol w:w="1132"/>
        <w:gridCol w:w="1117"/>
        <w:gridCol w:w="1132"/>
        <w:gridCol w:w="1132"/>
        <w:gridCol w:w="673"/>
        <w:gridCol w:w="459"/>
        <w:gridCol w:w="1691"/>
        <w:gridCol w:w="57"/>
      </w:tblGrid>
      <w:tr w:rsidR="0087504D">
        <w:trPr>
          <w:trHeight w:val="673"/>
        </w:trPr>
        <w:tc>
          <w:tcPr>
            <w:tcW w:w="15575" w:type="dxa"/>
            <w:gridSpan w:val="11"/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8.2. Объем финансирования государственной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программы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 ответственному исполнителю, исполнителям и участникам государственной программы</w:t>
            </w:r>
          </w:p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230"/>
        </w:trPr>
        <w:tc>
          <w:tcPr>
            <w:tcW w:w="13425" w:type="dxa"/>
            <w:gridSpan w:val="9"/>
          </w:tcPr>
          <w:p w:rsidR="0087504D" w:rsidRDefault="0087504D"/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Таблица 2</w:t>
            </w:r>
          </w:p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114"/>
        </w:trPr>
        <w:tc>
          <w:tcPr>
            <w:tcW w:w="15575" w:type="dxa"/>
            <w:gridSpan w:val="11"/>
            <w:tcBorders>
              <w:bottom w:val="single" w:sz="4" w:space="0" w:color="000000"/>
            </w:tcBorders>
          </w:tcPr>
          <w:p w:rsidR="0087504D" w:rsidRDefault="0087504D"/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44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№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п/п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ответственного исполнителя, соисполнителя, участника государственной программы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Вид источника финансирования</w:t>
            </w:r>
          </w:p>
        </w:tc>
        <w:tc>
          <w:tcPr>
            <w:tcW w:w="6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финансирования по годам, тыс. руб.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ИТОГО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903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2024 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2025 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2026 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2027 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2028 г.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2029 г.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22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2  520  857,5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1  918  158,0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1  972  458,1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2  051  356,2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2  133  322,4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2  218  479,2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12  814  631,4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3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04D" w:rsidRDefault="0087504D"/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04D" w:rsidRDefault="0087504D"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04D" w:rsidRDefault="0087504D"/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504D" w:rsidRDefault="0087504D"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2  520  857,5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1  918  158,0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1  972  458,1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2  051  356,2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2  133  322,4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2  218  479,2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12  814  631,4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1.2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Подпрограмма 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1  543  963,0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908  456,7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922  972,2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959  891,0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998  206,6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1  037  974,8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6  371  464,3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2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1  543  963,0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908  456,7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922  972,2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959  891,0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998  206,6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1  037  974,8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6  371  464,3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29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1.3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Подпрограмма 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976  894,5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1  009  701,3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1  049  485,9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1  091  465,2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1  135  115,8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1  180  504,4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6  443  167,1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34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976  894,5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1  009  701,3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1  049  485,9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1  091  465,2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1  135  115,8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1  180  504,4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504D" w:rsidRDefault="0068592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6  443  167,1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</w:tbl>
    <w:p w:rsidR="0087504D" w:rsidRDefault="0087504D">
      <w:pPr>
        <w:sectPr w:rsidR="0087504D">
          <w:pgSz w:w="16839" w:h="11907" w:orient="landscape" w:code="9"/>
          <w:pgMar w:top="567" w:right="567" w:bottom="517" w:left="567" w:header="567" w:footer="517" w:gutter="0"/>
          <w:cols w:space="720"/>
        </w:sectPr>
      </w:pPr>
    </w:p>
    <w:p w:rsidR="0087504D" w:rsidRDefault="0087504D"/>
    <w:p w:rsidR="0087504D" w:rsidRDefault="0087504D"/>
    <w:p w:rsidR="0087504D" w:rsidRDefault="00685926">
      <w:pPr>
        <w:pStyle w:val="a3"/>
        <w:spacing w:after="0" w:line="240" w:lineRule="auto"/>
        <w:ind w:left="0"/>
        <w:contextualSpacing w:val="0"/>
        <w:jc w:val="center"/>
        <w:rPr>
          <w:b/>
        </w:rPr>
      </w:pPr>
      <w:r>
        <w:rPr>
          <w:rFonts w:ascii="Times New Roman" w:hAnsi="Times New Roman"/>
          <w:b/>
          <w:sz w:val="24"/>
        </w:rPr>
        <w:t xml:space="preserve">9. </w:t>
      </w:r>
      <w:r>
        <w:rPr>
          <w:rFonts w:ascii="Times New Roman" w:hAnsi="Times New Roman"/>
          <w:b/>
          <w:sz w:val="24"/>
        </w:rPr>
        <w:t>Подпрограмма 1</w:t>
      </w:r>
    </w:p>
    <w:p w:rsidR="0087504D" w:rsidRDefault="00685926">
      <w:pPr>
        <w:pStyle w:val="a3"/>
        <w:spacing w:after="0" w:line="240" w:lineRule="auto"/>
        <w:ind w:left="0"/>
        <w:contextualSpacing w:val="0"/>
        <w:jc w:val="center"/>
      </w:pPr>
      <w:r>
        <w:rPr>
          <w:rFonts w:ascii="Times New Roman" w:hAnsi="Times New Roman"/>
          <w:b/>
          <w:sz w:val="24"/>
        </w:rPr>
        <w:t>9.1. Паспорт подпрограммы 1</w:t>
      </w:r>
    </w:p>
    <w:tbl>
      <w:tblPr>
        <w:tblStyle w:val="TableGrid1"/>
        <w:tblW w:w="9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0"/>
        <w:gridCol w:w="2835"/>
        <w:gridCol w:w="6660"/>
      </w:tblGrid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87504D" w:rsidRDefault="00685926">
            <w:pPr>
              <w:spacing w:line="262" w:lineRule="atLeast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Исполнители подпрограммы 1</w:t>
            </w:r>
          </w:p>
        </w:tc>
        <w:tc>
          <w:tcPr>
            <w:tcW w:w="6660" w:type="dxa"/>
          </w:tcPr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КИО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КППИТ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КРТ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</w:t>
            </w: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Участник(и) государственной программы (в части реализации подпрограммы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660" w:type="dxa"/>
          </w:tcPr>
          <w:p w:rsidR="0087504D" w:rsidRDefault="0087504D">
            <w:pPr>
              <w:rPr>
                <w:rFonts w:eastAsia="Times New Roman" w:cs="Times New Roman"/>
              </w:rPr>
            </w:pP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87504D" w:rsidRDefault="00685926">
            <w:pPr>
              <w:spacing w:line="262" w:lineRule="atLeast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подпрограммы 1</w:t>
            </w:r>
          </w:p>
        </w:tc>
        <w:tc>
          <w:tcPr>
            <w:tcW w:w="6660" w:type="dxa"/>
          </w:tcPr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Содействие повышению уровня качества туристской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обеспечивающей инфраструктур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87504D" w:rsidRDefault="00685926">
            <w:pPr>
              <w:rPr>
                <w:rFonts w:eastAsia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660" w:type="dxa"/>
          </w:tcPr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комплексного развития туристской инфраструктуры в Санкт-Петербурге.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внебюджетных инвестиций в целях развития туристской инфраструктуры.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Содействие реализации инвестиционных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проектов по созданию и реконструкции объектов туристской инфраструктуры в Санкт-Петербурге</w:t>
            </w: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Региональные проекты, реализуемые в рамках подпрограммы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660" w:type="dxa"/>
          </w:tcPr>
          <w:p w:rsidR="0087504D" w:rsidRDefault="0087504D">
            <w:pPr>
              <w:rPr>
                <w:rFonts w:eastAsia="Times New Roman" w:cs="Times New Roman"/>
              </w:rPr>
            </w:pP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Общий объем финансирования подпрограммы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источникам финансирования с указанием объема финансиров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ания, предусмотренного на реализацию региональных проектов, в том числе по годам реализации</w:t>
            </w:r>
          </w:p>
        </w:tc>
        <w:tc>
          <w:tcPr>
            <w:tcW w:w="666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Общий объем финансирования подпрограммы составляет 0,0 тыс. руб., в том числе: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счет средств бюджета Санкт-Петербурга – 0,0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2028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0,0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счет средств федерального бюджета – 0,0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2028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0,0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счет внебюджетных средств – 0,0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 г. – 0,0 тыс.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2028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0,0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Общий объем финансирования региональных проектов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составляет 0,0 тыс. руб., в том числе: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счет средств бюджета Санкт-Петербурга – 0,0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2028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0,0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счет средств федерального бюджета – 0,0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2028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0,0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счет внебюджетных средств – 0,0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2026 г. – 0,0 тыс.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2028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0,0 тыс. руб.;</w:t>
            </w: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87504D" w:rsidRDefault="00685926">
            <w:pPr>
              <w:rPr>
                <w:rFonts w:eastAsia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Ожидаемые результаты реализации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660" w:type="dxa"/>
          </w:tcPr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концептуальной основы для развития туристской инфраструктуры в Санкт-Петербурге;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в экономику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Санкт-Петербурга частных инвестиций в целях реализации инвестиционных проектов в сфере развития туристской инфраструктуры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</w:tc>
      </w:tr>
    </w:tbl>
    <w:p w:rsidR="0087504D" w:rsidRDefault="0087504D">
      <w:pPr>
        <w:rPr>
          <w:rFonts w:eastAsia="Times New Roman" w:cs="Times New Roman"/>
        </w:rPr>
        <w:sectPr w:rsidR="0087504D">
          <w:pgSz w:w="11907" w:h="16839" w:code="9"/>
          <w:pgMar w:top="1133" w:right="850" w:bottom="1133" w:left="1700" w:header="708" w:footer="708" w:gutter="0"/>
          <w:cols w:space="720"/>
        </w:sectPr>
      </w:pPr>
    </w:p>
    <w:p w:rsidR="0087504D" w:rsidRDefault="0087504D">
      <w:pPr>
        <w:rPr>
          <w:rFonts w:eastAsia="Times New Roman" w:cs="Times New Roman"/>
        </w:rPr>
      </w:pPr>
    </w:p>
    <w:p w:rsidR="0087504D" w:rsidRDefault="0087504D">
      <w:pPr>
        <w:rPr>
          <w:rFonts w:eastAsia="Times New Roman" w:cs="Times New Roman"/>
        </w:rPr>
      </w:pPr>
    </w:p>
    <w:p w:rsidR="0087504D" w:rsidRDefault="00685926">
      <w:pPr>
        <w:widowControl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9.2. Характеристика текущего состояния и уровня развития туристской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обеспечивающей инфраструктур в Санкт-Петербурге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с указанием основных проблем и прогноз его развития</w:t>
      </w:r>
    </w:p>
    <w:p w:rsidR="0087504D" w:rsidRDefault="0087504D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Комплексное развитие туристских территорий предполагает развитие туристской, коммунальной и транспортной инфраструктур, развитие объектов показа и других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объектов индустрии туризма, благоустройство туристских территорий в целях создания конкурентоспособного туристского продукта.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Туристская инфраструктура – коллективные средства размещения, объекты общественного питания, объекты туристского показа и посещен</w:t>
      </w:r>
      <w:r>
        <w:rPr>
          <w:rFonts w:ascii="Times New Roman" w:eastAsia="Times New Roman" w:hAnsi="Times New Roman" w:cs="Times New Roman"/>
          <w:sz w:val="24"/>
          <w:szCs w:val="24"/>
        </w:rPr>
        <w:t>ия, объекты придорожного сервиса, объекты торговли и другие объекты, относящиеся к организациям, ведущим деятельность в соответствии с видами Общероссийского классификатора видов экономической деятельности, относящимися к собирательной классификационной гр</w:t>
      </w:r>
      <w:r>
        <w:rPr>
          <w:rFonts w:ascii="Times New Roman" w:eastAsia="Times New Roman" w:hAnsi="Times New Roman" w:cs="Times New Roman"/>
          <w:sz w:val="24"/>
          <w:szCs w:val="24"/>
        </w:rPr>
        <w:t>уппировке видов экономической деятельности «Туризм».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Обеспечивающая инфраструктура – это объекты, необходимые для функционирования объектов туристской инфраструктуры на туристских территориях, в том числе сети электроснабжения, газоснабжения, теплоснабжени</w:t>
      </w:r>
      <w:r>
        <w:rPr>
          <w:rFonts w:ascii="Times New Roman" w:eastAsia="Times New Roman" w:hAnsi="Times New Roman" w:cs="Times New Roman"/>
          <w:sz w:val="24"/>
          <w:szCs w:val="24"/>
        </w:rPr>
        <w:t>я, водоснабжения, водоотведения, связи, дноуглубление и берегоукрепление, берегозащитные, пляжеудерживающие сооружения, объекты благоустройства общественных городских пространств, очистные сооружения, а также подключение к ним. Обеспечивающая инфраструктур</w:t>
      </w:r>
      <w:r>
        <w:rPr>
          <w:rFonts w:ascii="Times New Roman" w:eastAsia="Times New Roman" w:hAnsi="Times New Roman" w:cs="Times New Roman"/>
          <w:sz w:val="24"/>
          <w:szCs w:val="24"/>
        </w:rPr>
        <w:t>а служит дополнением к туристской инфраструктуре и представляет собой совокупность объектов и предприятий, которые повышают разнообразие и качество услуг, а также комфортность и безопасность пребывания.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качестве видов туристской инфраструктуры, наиболее </w:t>
      </w:r>
      <w:r>
        <w:rPr>
          <w:rFonts w:ascii="Times New Roman" w:eastAsia="Times New Roman" w:hAnsi="Times New Roman" w:cs="Times New Roman"/>
          <w:sz w:val="24"/>
          <w:szCs w:val="24"/>
        </w:rPr>
        <w:t>перспективных для дальнейшего развития в Санкт-Петербурге, рассматриваются инфраструктура водного туризма (морские и речные круизы, паромное сообщение, яхтенный туризм и маломерный флот), автотуризма, индустрии гостеприимства и др.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Сфера реализации подпрог</w:t>
      </w:r>
      <w:r>
        <w:rPr>
          <w:rFonts w:ascii="Times New Roman" w:eastAsia="Times New Roman" w:hAnsi="Times New Roman" w:cs="Times New Roman"/>
          <w:sz w:val="24"/>
          <w:szCs w:val="24"/>
        </w:rPr>
        <w:t>раммы 1 охватывает: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комплексного развития туристской инфраструктуры Санкт-Петербурга;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привлечение внебюджетных инвестиций в целях развития туристской инфраструктуры;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содействие реализации инвестиционных проектов по созданию и реконструкции объе</w:t>
      </w:r>
      <w:r>
        <w:rPr>
          <w:rFonts w:ascii="Times New Roman" w:eastAsia="Times New Roman" w:hAnsi="Times New Roman" w:cs="Times New Roman"/>
          <w:sz w:val="24"/>
          <w:szCs w:val="24"/>
        </w:rPr>
        <w:t>ктов туристской инфраструктуры в Санкт-Петербурге.</w:t>
      </w:r>
    </w:p>
    <w:p w:rsidR="0087504D" w:rsidRDefault="0087504D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9.2.1. Обеспечение комплексного развития туристской</w:t>
      </w:r>
    </w:p>
    <w:p w:rsidR="0087504D" w:rsidRDefault="00685926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инфраструктуры Санкт-Петербурга</w:t>
      </w:r>
    </w:p>
    <w:p w:rsidR="0087504D" w:rsidRDefault="0087504D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туристской инфраструктуры Санкт-Петербурга направлено как на развитие непосредственно сферы туризма, так и на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комфортной городской среды для жителей Санкт-Петербурга. Реализация программ развития туристской инфраструктуры позволит обеспечить Санкт-Петербург объектами интересными и комфортными для туристов и горожан, а также обеспечит соответствие гостинич</w:t>
      </w:r>
      <w:r>
        <w:rPr>
          <w:rFonts w:ascii="Times New Roman" w:eastAsia="Times New Roman" w:hAnsi="Times New Roman" w:cs="Times New Roman"/>
          <w:sz w:val="24"/>
          <w:szCs w:val="24"/>
        </w:rPr>
        <w:t>ной и конгрессно-выставочной инфраструктур растущим потребностям Санкт-Петербурга.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Санкт-Петербурга от 26.12.2012 № 741-126 «О туристской деятельности в Санкт-Петербурге» водный туризм является одним из приоритетных направлений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 туризма в Санкт-Петербурге.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 с его богатейшим культурным, историческим наследием и географическим положением способствует развитию речных круизов, является национальным туристическим хабом на Северо-Западе России, позволяющим объеди</w:t>
      </w:r>
      <w:r>
        <w:rPr>
          <w:rFonts w:ascii="Times New Roman" w:eastAsia="Times New Roman" w:hAnsi="Times New Roman" w:cs="Times New Roman"/>
          <w:sz w:val="24"/>
          <w:szCs w:val="24"/>
        </w:rPr>
        <w:t>нить экскурсионную и круизную программы, увеличив время пребывания туристов в городе, что положительно сказывается на экономике Санкт-Петербурга, и кроме того играет ключевую роль в формировании туристических маршрутов.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условиях прекращения морского межд</w:t>
      </w:r>
      <w:r>
        <w:rPr>
          <w:rFonts w:ascii="Times New Roman" w:eastAsia="Times New Roman" w:hAnsi="Times New Roman" w:cs="Times New Roman"/>
          <w:sz w:val="24"/>
          <w:szCs w:val="24"/>
        </w:rPr>
        <w:t>ународного пассажирского сообщения акционерное общество «Пассажирский порт Санкт-Петербурга «Морской фасад» последовательно осуществляет комплекс мероприятий по перепрофилированию инфраструктурных активов, расположенных в Большом порту Санкт-Петербурга, дл</w:t>
      </w:r>
      <w:r>
        <w:rPr>
          <w:rFonts w:ascii="Times New Roman" w:eastAsia="Times New Roman" w:hAnsi="Times New Roman" w:cs="Times New Roman"/>
          <w:sz w:val="24"/>
          <w:szCs w:val="24"/>
        </w:rPr>
        <w:t>я нужд внутреннего водного транспорта и предоставлению причального фронта речным судоходным компаниям. В навигацию 2023 года осуществлено 20 судозаходов, пассажиропоток составил 2007 человек.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Санкт-Петербурге и на границе с Ленинградской областью существ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уют три причальных комплекса для приема круизных речных судов, в навигацию 2023 года осуществлено 443 судозахода, что на 9 % больше навигационного периода 2022 года. Пассажиропоток в 2023 году составил 184 224 человек (прибытие/убытие), что на 17 % больше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чем за 2022 год и указывает на востребованность речных круизных перевозок. 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снижается спрос жителей Санкт-Петербурга на активный отдых на воде и у воды в черте города. 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Учитывая статус Санкт-Петербурга как морской столицы России, яхтенный туризм являетс</w:t>
      </w:r>
      <w:r>
        <w:rPr>
          <w:rFonts w:ascii="Times New Roman" w:eastAsia="Times New Roman" w:hAnsi="Times New Roman" w:cs="Times New Roman"/>
          <w:sz w:val="24"/>
          <w:szCs w:val="24"/>
        </w:rPr>
        <w:t>я одним из приоритетных направлений развития туристской отрасли в городе.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 году появились новые места притяжения любителей парусного спорта Санкт-Петербурга. Открыт новый яхтенный порт «Смоленка» Яхт-клуба Санкт-Петербурга. На территории рядом с Морс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ким пассажирским портом на намыве Васильевского острова разместилась Академия парусного спорта. В новой гавани могут разместиться 200 судов и швартоваться яхты длиной до 40 метров. В центре Петербурга на набережной р. Ждановки открыта новая водно-моторная </w:t>
      </w:r>
      <w:r>
        <w:rPr>
          <w:rFonts w:ascii="Times New Roman" w:eastAsia="Times New Roman" w:hAnsi="Times New Roman" w:cs="Times New Roman"/>
          <w:sz w:val="24"/>
          <w:szCs w:val="24"/>
        </w:rPr>
        <w:t>стоянка. Открыт новый причал «Крестовский остров» на Набережной Мартынова у 2-го Елагина моста для водного транспорта и экскурсионных теплоходов. Одновременно в городе запустили сразу три новых маршрута по воде, которые соединили между собой самые популярн</w:t>
      </w:r>
      <w:r>
        <w:rPr>
          <w:rFonts w:ascii="Times New Roman" w:eastAsia="Times New Roman" w:hAnsi="Times New Roman" w:cs="Times New Roman"/>
          <w:sz w:val="24"/>
          <w:szCs w:val="24"/>
        </w:rPr>
        <w:t>ые места притяжения горожан и туристов.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сложностей в развитии инфраструктуры водного туризма можно выделить недостаточное развитие и высокую стоимость аренды речной портовой инфраструктуры, инфраструктуры паромного сообщения, инфраструктуры базирован</w:t>
      </w:r>
      <w:r>
        <w:rPr>
          <w:rFonts w:ascii="Times New Roman" w:eastAsia="Times New Roman" w:hAnsi="Times New Roman" w:cs="Times New Roman"/>
          <w:sz w:val="24"/>
          <w:szCs w:val="24"/>
        </w:rPr>
        <w:t>ия и обслуживания маломерного флота.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комплексного развития инфраструктуры водного туризма в Санкт-Петербурге предполагается определение концептуальных основ развития по следующим направлениям: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речной и морской портовых инфраструктур, а </w:t>
      </w:r>
      <w:r>
        <w:rPr>
          <w:rFonts w:ascii="Times New Roman" w:eastAsia="Times New Roman" w:hAnsi="Times New Roman" w:cs="Times New Roman"/>
          <w:sz w:val="24"/>
          <w:szCs w:val="24"/>
        </w:rPr>
        <w:t>также прилегающей к ним территории;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инфраструктуры яхтенного туризма, выделение и создание территорий и акваторий для строительства яхтенных марин и необходимой яхтенной инфраструктуры;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инфраструктуры базирования и обслуживания маломерног</w:t>
      </w:r>
      <w:r>
        <w:rPr>
          <w:rFonts w:ascii="Times New Roman" w:eastAsia="Times New Roman" w:hAnsi="Times New Roman" w:cs="Times New Roman"/>
          <w:sz w:val="24"/>
          <w:szCs w:val="24"/>
        </w:rPr>
        <w:t>о флота;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управления объектами инфраструктуры водных видов туризма.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Большое внимание уделяется также развитию гостиничной отрасли Санкт-Петербурга.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31.12.2023 в Санкт-Петербурге осуществляют деятельность 1 228 классифициров</w:t>
      </w:r>
      <w:r>
        <w:rPr>
          <w:rFonts w:ascii="Times New Roman" w:eastAsia="Times New Roman" w:hAnsi="Times New Roman" w:cs="Times New Roman"/>
          <w:sz w:val="24"/>
          <w:szCs w:val="24"/>
        </w:rPr>
        <w:t>анных коллективных средств размещения с общим номерным фондом 52 407 номера (155 116 койко-места), в том числе: «пять звезд» – 38; «четыре звезды» – 153; «три звезды» – 327; «две звезды» – 71; «одна звезда» – 26; «без звезд» – 608.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Среднее за 2023 год знач</w:t>
      </w:r>
      <w:r>
        <w:rPr>
          <w:rFonts w:ascii="Times New Roman" w:eastAsia="Times New Roman" w:hAnsi="Times New Roman" w:cs="Times New Roman"/>
          <w:sz w:val="24"/>
          <w:szCs w:val="24"/>
        </w:rPr>
        <w:t>ение показателя загрузки классифицированных средств размещения составило 66 %.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развития гостиничной отрасли Санкт-Петербурга продолжает осуществляться взаимодействие с инвесторами, работающими в гостиничной отрасли, проводится подбор зданий, помеще</w:t>
      </w:r>
      <w:r>
        <w:rPr>
          <w:rFonts w:ascii="Times New Roman" w:eastAsia="Times New Roman" w:hAnsi="Times New Roman" w:cs="Times New Roman"/>
          <w:sz w:val="24"/>
          <w:szCs w:val="24"/>
        </w:rPr>
        <w:t>ний в нежилом фонде и земельных участков, находящихся в государственной собственности, для организации гостиничных предприятий.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Санкт-Петербург – национальный туристический и транспортный хаб на Северо-Западе России для миллионов туристов.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чем ис</w:t>
      </w:r>
      <w:r>
        <w:rPr>
          <w:rFonts w:ascii="Times New Roman" w:eastAsia="Times New Roman" w:hAnsi="Times New Roman" w:cs="Times New Roman"/>
          <w:sz w:val="24"/>
          <w:szCs w:val="24"/>
        </w:rPr>
        <w:t>полнительными органами власти Санкт-Петербурга совместно с автоперевозчиками туристической отрасли проведена работа по созданию сети бесплатных парковок для туристических автобусов в зонах действия платной парковки в исторической части Санкт-Петербурга в ц</w:t>
      </w:r>
      <w:r>
        <w:rPr>
          <w:rFonts w:ascii="Times New Roman" w:eastAsia="Times New Roman" w:hAnsi="Times New Roman" w:cs="Times New Roman"/>
          <w:sz w:val="24"/>
          <w:szCs w:val="24"/>
        </w:rPr>
        <w:t>елях создания комфортных и безопасных условий для посадки и высадки туристов у мест туристского показа.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Адресный перечень сформирован на основании поступивших предложений от Союза ассоциации автоперевозчиков и предпринимателей «Регионы» и Регионального отд</w:t>
      </w:r>
      <w:r>
        <w:rPr>
          <w:rFonts w:ascii="Times New Roman" w:eastAsia="Times New Roman" w:hAnsi="Times New Roman" w:cs="Times New Roman"/>
          <w:sz w:val="24"/>
          <w:szCs w:val="24"/>
        </w:rPr>
        <w:t>еления Российского союза туристской индустрии – Северо-Запад. В четвертом квартале 2023 года в Санкт-Петербурге для комфортной посадки и высадки туристов задействовано 47 адресов, что составляет 243 места. Максимально учтены предложения автоперевозчиков с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поправкой на наличие технической возможности организации парковочных мест. 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по организации бесплатных парковочных мест для туристических автобусов в зоне действия платной парковки находится на постоянном контроле профильных исполнительных органов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сударственной власти Санкт-Петербурга и подведомственных им организаций. Работа по данному направлению продолжается. </w:t>
      </w:r>
    </w:p>
    <w:p w:rsidR="0087504D" w:rsidRDefault="0087504D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9.2.2. Содействие реализации инвестиционных проектов по созданию и реконструкции объектов туристской инфраструктуры в Санкт-Петербурге</w:t>
      </w:r>
    </w:p>
    <w:p w:rsidR="0087504D" w:rsidRDefault="0087504D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ривлечение инвестиций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туристическую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отрасль является одним из важнейших факторов ее развития, а также эффективной реализацией богатого природного, культурного и рекреационного потенциала Санкт-Петербурга, поэтому подпрограммой 1 предусмотрена реализация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мероприятий по содействию реализации инвестиционных проектов по созданию и реконструкции объектов туристской инфраструктуры в Санкт-Петербурге, в том числе коллективных средств размещения, транспортных, туристско-рекреационных и конгрессно-выставочных объе</w:t>
      </w:r>
      <w:r>
        <w:rPr>
          <w:rFonts w:ascii="Times New Roman" w:eastAsia="Times New Roman" w:hAnsi="Times New Roman" w:cs="Times New Roman"/>
          <w:sz w:val="24"/>
          <w:szCs w:val="24"/>
        </w:rPr>
        <w:t>ктов.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Привлечение частных инвесторов к участию в реализации проектов в сфере развития туристской инфраструктуры планируется в ходе реализации разработанных концептуальных основ развития туристской инфраструктуры в Санкт-Петербурге, на основании которых буд</w:t>
      </w:r>
      <w:r>
        <w:rPr>
          <w:rFonts w:ascii="Times New Roman" w:eastAsia="Times New Roman" w:hAnsi="Times New Roman" w:cs="Times New Roman"/>
          <w:sz w:val="24"/>
          <w:szCs w:val="24"/>
        </w:rPr>
        <w:t>ут определены перспективные площадки для создания в Санкт-Петербурге новых и модернизации существующих объектов туристской инфраструктуры.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концептуальных документов по развитию инфраструктуры будут сформированы инвестиционные пакеты, предлагае</w:t>
      </w:r>
      <w:r>
        <w:rPr>
          <w:rFonts w:ascii="Times New Roman" w:eastAsia="Times New Roman" w:hAnsi="Times New Roman" w:cs="Times New Roman"/>
          <w:sz w:val="24"/>
          <w:szCs w:val="24"/>
        </w:rPr>
        <w:t>мые потенциальным инвесторам к реализации. КРТ во взаимодействии с КИ будет осуществлять подготовку инвестиционных меморандумов, презентаций и переговоров. На указанных участников государственной программы ложится обязанность по проработке проектов в сфере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развития туристской инфраструктуры с финансовыми и юридическими подразделениями потенциального инвестора, а также осуществлению дальнейшего сопровождения реализации проектов.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Планируется, что в рамках ГЧП в Санкт-Петербурге будут реализовываться проекты п</w:t>
      </w:r>
      <w:r>
        <w:rPr>
          <w:rFonts w:ascii="Times New Roman" w:eastAsia="Times New Roman" w:hAnsi="Times New Roman" w:cs="Times New Roman"/>
          <w:sz w:val="24"/>
          <w:szCs w:val="24"/>
        </w:rPr>
        <w:t>о созданию коллективных средств размещения, транспортных, туристско-рекреационных и конгрессно-выставочных объектов.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в Санкт-Петербурге реализуется 3 проекта по созданию гостиниц: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реконструкция здания, расположенного по адресу: Санкт-Пете</w:t>
      </w:r>
      <w:r>
        <w:rPr>
          <w:rFonts w:ascii="Times New Roman" w:eastAsia="Times New Roman" w:hAnsi="Times New Roman" w:cs="Times New Roman"/>
          <w:sz w:val="24"/>
          <w:szCs w:val="24"/>
        </w:rPr>
        <w:t>рбург, Средний пр. В.О., д. 40, литер А, в целях создания гостиницы категории «три звезды» с номерным фондом от 100 номеров посредством реализации концессионного соглашения;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реконструкция зданий, расположенных по адресу: Санкт-Петербург, Каменноостровский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пр., д. 58-60, литеры А, В, в целях создания гостиницы категории не ниже «три звезды» с номерным фондом от 46 номеров посредством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концессионного соглашения;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гостинично-досугового комплекса, расположенного по адресу: Санкт-Петербург, г. </w:t>
      </w:r>
      <w:r>
        <w:rPr>
          <w:rFonts w:ascii="Times New Roman" w:eastAsia="Times New Roman" w:hAnsi="Times New Roman" w:cs="Times New Roman"/>
          <w:sz w:val="24"/>
          <w:szCs w:val="24"/>
        </w:rPr>
        <w:t>Зеленогорск, Приморское шоссе, д. 520а, литера И, д. 520, литеры Д, Л, М, О, Ц, Ш, Э ,с целью реконструкции и приспособления 8 зданий (2 объекта культурного наследия, 5 исторических зданий, 1 объект незавершенного строительства), а также строительство водн</w:t>
      </w:r>
      <w:r>
        <w:rPr>
          <w:rFonts w:ascii="Times New Roman" w:eastAsia="Times New Roman" w:hAnsi="Times New Roman" w:cs="Times New Roman"/>
          <w:sz w:val="24"/>
          <w:szCs w:val="24"/>
        </w:rPr>
        <w:t>о-оздоровительного комплекса и размещение некапитальных объектов для клиентов гостинично-досугового комплекса: детские и спортивные площадки, кемпинги со всей необходимой инфраструктурой.</w:t>
      </w:r>
    </w:p>
    <w:p w:rsidR="0087504D" w:rsidRDefault="0087504D">
      <w:pPr>
        <w:widowControl w:val="0"/>
        <w:jc w:val="center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7504D" w:rsidRDefault="00685926">
      <w:pPr>
        <w:widowControl w:val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9.2.3. Планирование комплексного развития туристской территории</w:t>
      </w:r>
    </w:p>
    <w:p w:rsidR="0087504D" w:rsidRDefault="0087504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 туристской территорией понимается физическое пространство, которое характеризуется наличием общего туристского продукта. Формирование качественного туристского продукта напрямую зависит от уровня развития туристской и обеспечивающих инфраструктур.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</w:t>
      </w:r>
      <w:r>
        <w:rPr>
          <w:rFonts w:ascii="Times New Roman" w:eastAsia="Times New Roman" w:hAnsi="Times New Roman" w:cs="Times New Roman"/>
          <w:sz w:val="24"/>
          <w:szCs w:val="24"/>
        </w:rPr>
        <w:t>лях развития туристской инфраструктуры осуществляется работа по разработке и реализации концепций и схем размещения объектов туристской инфраструктуры на территории Санкт-Петербурга, в рамках которых проводится анализ наличия, уровня развития и доступности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туристско-рекреационных ресурсов Санкт-Петербурга, а также определяется состав и структура необходимых объектов туристской инфраструктуры.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анализа будет определена потребность Санкт-Петербурга в объектах туристской инфраструктуры, разработа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соответствующая </w:t>
      </w:r>
      <w:hyperlink r:id="rId24">
        <w:r>
          <w:rPr>
            <w:rFonts w:ascii="Times New Roman" w:eastAsia="Times New Roman" w:hAnsi="Times New Roman" w:cs="Times New Roman"/>
            <w:sz w:val="24"/>
            <w:szCs w:val="24"/>
          </w:rPr>
          <w:t>схема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размещения объектов туристской инфраструктуры, направленная на уд</w:t>
      </w:r>
      <w:r>
        <w:rPr>
          <w:rFonts w:ascii="Times New Roman" w:eastAsia="Times New Roman" w:hAnsi="Times New Roman" w:cs="Times New Roman"/>
          <w:sz w:val="24"/>
          <w:szCs w:val="24"/>
        </w:rPr>
        <w:t>овлетворение выявленной потребности Санкт-Петербурга в объектах туристской инфраструктуры на период до 2030 года. На основании указанных концепций и схем размещения объектов туристской инфраструктуры на территории Санкт-Петербурга предполагается подготовка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предложений по внесению соответствующих изменений в Генеральный план Санкт-Петербурга, утвержденный Законом Санкт-Петербурга от 21.12.2005 № 728-99, а также последующая разработка проектной и предпроектной документации по отдельным направлениям.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о</w:t>
      </w:r>
      <w:r>
        <w:rPr>
          <w:rFonts w:ascii="Times New Roman" w:eastAsia="Times New Roman" w:hAnsi="Times New Roman" w:cs="Times New Roman"/>
          <w:sz w:val="24"/>
          <w:szCs w:val="24"/>
        </w:rPr>
        <w:t>беспечения комплексного развития Санкт-Петербурга как комфортной и удобной туристской дестинации планирование создания объектов туристской инфраструктуры должно быть синхронизировано с планами мероприятий по развитию обеспечивающей инфраструктуры.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">
        <w:r>
          <w:rPr>
            <w:rFonts w:ascii="Times New Roman" w:eastAsia="Times New Roman" w:hAnsi="Times New Roman" w:cs="Times New Roman"/>
            <w:sz w:val="24"/>
            <w:szCs w:val="24"/>
          </w:rPr>
          <w:t>Стратегии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развития туризма в Российской Федерации на период до 2035 года, утвержденной ра</w:t>
      </w:r>
      <w:r>
        <w:rPr>
          <w:rFonts w:ascii="Times New Roman" w:eastAsia="Times New Roman" w:hAnsi="Times New Roman" w:cs="Times New Roman"/>
          <w:sz w:val="24"/>
          <w:szCs w:val="24"/>
        </w:rPr>
        <w:t>споряжением Правительства Российской Федерации от 20.09.2019 № 2129-р, инструментами координации и синхронизации мер по развитию туристской территории станут создание и реализация плана развития туристской территории – комплекса мероприятий и индивидуальны</w:t>
      </w:r>
      <w:r>
        <w:rPr>
          <w:rFonts w:ascii="Times New Roman" w:eastAsia="Times New Roman" w:hAnsi="Times New Roman" w:cs="Times New Roman"/>
          <w:sz w:val="24"/>
          <w:szCs w:val="24"/>
        </w:rPr>
        <w:t>х мер по развитию туристской территории, включающего в себя единую концепцию развития и продвижения туристского продукта, мастер-план развития туристской территории (далее – мастер-план), перечень инвестиционных проектов, проектов по развитию объектов тран</w:t>
      </w:r>
      <w:r>
        <w:rPr>
          <w:rFonts w:ascii="Times New Roman" w:eastAsia="Times New Roman" w:hAnsi="Times New Roman" w:cs="Times New Roman"/>
          <w:sz w:val="24"/>
          <w:szCs w:val="24"/>
        </w:rPr>
        <w:t>спортной, обеспечивающей и туристской инфраструктур, запрос на индивидуальный набор мер государственной поддержки.</w:t>
      </w:r>
    </w:p>
    <w:p w:rsidR="0087504D" w:rsidRDefault="00685926">
      <w:pPr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инициативы Губернатора Санкт-Петербурга А.Д. Беглова, КРТ принимает участие в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проекта «Из Москвы в Санкт-Петербург»,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авленного на формирование комплексного стратегического мастер-плана территориального развития туристской инфраструктуры и продвижения макрорегиона Республики Карелия, Ленинградской, Московской, Новгородской, Псковской и Тверской областей, Москвы и Санкт-Пе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тербурга.</w:t>
      </w:r>
    </w:p>
    <w:p w:rsidR="0087504D" w:rsidRDefault="00685926">
      <w:pPr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 исполнение поручения Президента Российской Федерации по итогам заседания Президиума Государственного Совета Российской Федерации 6 сентября 2022 года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 создании всесезонных курортов в мастер-план включены проекты по созданию круглогодичного мо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рского курорта в Санкт-Петербурге с участием компаний, имеющих опыт территориального проектирования лучших мировых курортов, с территориальной привязкой районов Санкт-Петербурга, обладающих широкими возможностями для отдыха и туризма. </w:t>
      </w:r>
    </w:p>
    <w:p w:rsidR="0087504D" w:rsidRDefault="00685926">
      <w:pPr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рамках программы 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едеральных круглогодичных морских курортов «5 морей» запланирована реализация проекта туристско-рекреационного кластера «Горская» («Санкт-Петербург марина») как круглогодичного морского курорта и нового ядра туристической экосистемы. Предполагается создани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 всесезонного курортного пространства с круглогодичным бассейном и водными аттракционами, строительство самой большой марины в России – на 29,5 га с 400 местами для швартовки моторных и парусных яхт и искусственной пляжной линией в 2 км.; площадь гостиниц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санаторного типа составит 338 тыс. кв.м., количество номеров – порядка 2000, ожидаемый турпоток - 1,33 млн человек.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87504D" w:rsidRDefault="00685926">
      <w:pPr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Дополнительно в рамках формирования мастер-плана «Из Москвы в Санкт-Петербург» на территории Санкт-Петербурга сформированы концепции всесе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зонных курортов на территории Кронштадтского и Петродворцового районов. </w:t>
      </w:r>
    </w:p>
    <w:p w:rsidR="0087504D" w:rsidRDefault="00685926">
      <w:pPr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Петергофе спроектирован гостиничный спа-комплекс 4* с источником минеральных вод, причалом и школой верховой езды в историко-архитектурном комплексе «Конюшни дворцовые».</w:t>
      </w:r>
    </w:p>
    <w:p w:rsidR="0087504D" w:rsidRDefault="00685926">
      <w:pPr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87504D">
          <w:pgSz w:w="11907" w:h="16839" w:code="9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Кронштадте разработана концепция круглогодичного курорта в западной части острова «Котлин». Проект предусматривает строительство многофункционального аквакомплекса с аквапарком, эксплуатируемой кровлей и скалодромом, строительство гостиницы 4* на 200 ном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еров, пирса на Финском заливе с бассейном, школой вейк/кайт/винд серфинга с пунктами аренды инвентаря. Аквакурорт предполагается вблизи новой туристской точки притяжения – парка «Остров Фортов» и заказника «Западный Котлин».</w:t>
      </w:r>
    </w:p>
    <w:p w:rsidR="0087504D" w:rsidRDefault="0087504D">
      <w:pPr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04D" w:rsidRDefault="0087504D">
      <w:pPr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020"/>
        <w:gridCol w:w="1920"/>
        <w:gridCol w:w="1805"/>
        <w:gridCol w:w="1018"/>
        <w:gridCol w:w="1017"/>
        <w:gridCol w:w="1017"/>
        <w:gridCol w:w="1018"/>
        <w:gridCol w:w="1017"/>
        <w:gridCol w:w="1003"/>
        <w:gridCol w:w="1361"/>
        <w:gridCol w:w="2035"/>
        <w:gridCol w:w="57"/>
      </w:tblGrid>
      <w:tr w:rsidR="0087504D">
        <w:trPr>
          <w:trHeight w:val="1017"/>
        </w:trPr>
        <w:tc>
          <w:tcPr>
            <w:tcW w:w="15575" w:type="dxa"/>
            <w:gridSpan w:val="12"/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9.3. ПЕРЕЧЕНЬ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мероприятий подпрограммы  1</w:t>
            </w:r>
          </w:p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444"/>
        </w:trPr>
        <w:tc>
          <w:tcPr>
            <w:tcW w:w="15575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ПРОЦЕССНАЯ ЧАСТЬ</w:t>
            </w:r>
          </w:p>
          <w:p w:rsidR="0087504D" w:rsidRDefault="0087504D"/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574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№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п/п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Наименование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Исполнитель,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участник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Источник финансирования</w:t>
            </w: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Срок реализации и объем финансирования по годам, тыс. руб.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ИТОГО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 xml:space="preserve">Наименование целевого показателя, индикатора, на достижение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которых оказывает влияние реализация мероприятия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117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2024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2025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2026 г.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2027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2028 г.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2029 г.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22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3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Обеспечение привлечения инвестиций на развитие существующих и создание новых объектов гостиничной инфраструктуры  и специализированных средств размещения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КРТ, КИО, КИ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1, ЦП 4, ЦП 5, Индикатор 1.2, Индикатор 1.3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16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Обеспечение привлечения инвестиций на развитие существующих и создание новых объектов инфраструктуры яхтенного туризма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КРТ, КИ, КТ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1, ЦП 2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Обеспечение привлечения инвестиций на развитие существующих и создание новых объектов инфраструктуры водного туризма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КРТ, КИ, КТ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1, ЦП 2, Индикатор 1.1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Сопровождение реализуемых  на территории  Санкт-Петербурга инвестиционных проектов по развитию туристской инфраструктуры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Индикатор 1.4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8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Подготовка предложений по мерам поддержки развития малого и среднего предпринимательства  в туризме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КРТ, КППИТ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1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Координация взаимодействия ИОГВ в целях развития туристской инфраструктуры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Санкт-Петербурга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1, ЦП 2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9"/>
        </w:trPr>
        <w:tc>
          <w:tcPr>
            <w:tcW w:w="6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 процессная часть подпрограммы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</w:tbl>
    <w:p w:rsidR="0087504D" w:rsidRDefault="0087504D">
      <w:pPr>
        <w:sectPr w:rsidR="0087504D">
          <w:pgSz w:w="16839" w:h="11907" w:orient="landscape" w:code="9"/>
          <w:pgMar w:top="567" w:right="567" w:bottom="517" w:left="567" w:header="567" w:footer="517" w:gutter="0"/>
          <w:cols w:space="720"/>
        </w:sectPr>
      </w:pPr>
    </w:p>
    <w:p w:rsidR="0087504D" w:rsidRDefault="0087504D"/>
    <w:p w:rsidR="0087504D" w:rsidRDefault="0087504D"/>
    <w:p w:rsidR="0087504D" w:rsidRDefault="00685926">
      <w:pPr>
        <w:widowControl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9.4. Механизмы реализации подпрограммы 1</w:t>
      </w:r>
    </w:p>
    <w:p w:rsidR="0087504D" w:rsidRDefault="0087504D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Реализация мероприятий,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предусмотренных в пунктах 1 – 3 процессной части перечня мероприятий подпрограммы 1, направлена на реализацию разработанных концептуальных основ развития туристской инфраструктуры и отдельных инвестиционных инициатив по развитию различных категорий объекто</w:t>
      </w:r>
      <w:r>
        <w:rPr>
          <w:rFonts w:ascii="Times New Roman" w:eastAsia="Times New Roman" w:hAnsi="Times New Roman" w:cs="Times New Roman"/>
          <w:sz w:val="24"/>
          <w:szCs w:val="24"/>
        </w:rPr>
        <w:t>в туристской инфраструктуры, в частности путем подбора и предоставления в аренду объектов недвижимости, находящихся в собственности Санкт-Петербурга, для размещения гостиничных предприятий, хостелов и иных малых средств размещения, их вовлечения в хозяйств</w:t>
      </w:r>
      <w:r>
        <w:rPr>
          <w:rFonts w:ascii="Times New Roman" w:eastAsia="Times New Roman" w:hAnsi="Times New Roman" w:cs="Times New Roman"/>
          <w:sz w:val="24"/>
          <w:szCs w:val="24"/>
        </w:rPr>
        <w:t>енный оборот, осуществляется соисполнителями мероприятий в пределах своих полномочий в рамках текущего финансирования деятельности.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Реализация мероприятия, предусмотренного в </w:t>
      </w:r>
      <w:hyperlink w:anchor="P2306">
        <w:r>
          <w:rPr>
            <w:rFonts w:ascii="Times New Roman" w:eastAsia="Times New Roman" w:hAnsi="Times New Roman" w:cs="Times New Roman"/>
            <w:sz w:val="24"/>
            <w:szCs w:val="24"/>
          </w:rPr>
          <w:t>пункте 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 перечня мероприятий подпрограммы 1, осуществляется КИ в пределах своих полномочий в рамках текущего финансирования деятельности КИ.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Реализация мероприятия, предусмотренного в </w:t>
      </w:r>
      <w:hyperlink w:anchor="P2318">
        <w:r>
          <w:rPr>
            <w:rFonts w:ascii="Times New Roman" w:eastAsia="Times New Roman" w:hAnsi="Times New Roman" w:cs="Times New Roman"/>
            <w:sz w:val="24"/>
            <w:szCs w:val="24"/>
          </w:rPr>
          <w:t>пункте 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 перечн</w:t>
      </w:r>
      <w:r>
        <w:rPr>
          <w:rFonts w:ascii="Times New Roman" w:eastAsia="Times New Roman" w:hAnsi="Times New Roman" w:cs="Times New Roman"/>
          <w:sz w:val="24"/>
          <w:szCs w:val="24"/>
        </w:rPr>
        <w:t>я мероприятий подпрограммы 1, осуществляется КРТ и КППИТ в пределах своих полномочий в рамках текущего финансирования деятельности.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и дальнейшая реализация комплекса мер по поддержке развития малого и среднего предпринимательства в туризме, а та</w:t>
      </w:r>
      <w:r>
        <w:rPr>
          <w:rFonts w:ascii="Times New Roman" w:eastAsia="Times New Roman" w:hAnsi="Times New Roman" w:cs="Times New Roman"/>
          <w:sz w:val="24"/>
          <w:szCs w:val="24"/>
        </w:rPr>
        <w:t>кже по популяризации предпринимательства в сфере туризма будет способствовать росту количества средних и малых туристских предприятий и, как следствие, расширению спектра предоставляемых туристских услуг, повышению качества туристского продукта, развитию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повышению эффективности использования туристской инфраструктуры, формированию притягательного и конкурентоспособного продукта для внутренних и въездных туристов, что, в свою очередь, позволит увеличить туристский поток и туристское потребление.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r>
        <w:rPr>
          <w:rFonts w:ascii="Times New Roman" w:eastAsia="Times New Roman" w:hAnsi="Times New Roman" w:cs="Times New Roman"/>
          <w:sz w:val="24"/>
          <w:szCs w:val="24"/>
        </w:rPr>
        <w:t>, реализация мер по поддержке развития малого и среднего предпринимательства в туризме будет способствовать развитию добросовестной конкуренции участников туристской отрасли и снижению доли теневого сектора.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7504D">
          <w:pgSz w:w="11907" w:h="16839" w:code="9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4. Реализация мероприятия, предусмотр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енного в </w:t>
      </w:r>
      <w:hyperlink w:anchor="P2331">
        <w:r>
          <w:rPr>
            <w:rFonts w:ascii="Times New Roman" w:eastAsia="Times New Roman" w:hAnsi="Times New Roman" w:cs="Times New Roman"/>
            <w:sz w:val="24"/>
            <w:szCs w:val="24"/>
          </w:rPr>
          <w:t>пункте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 перечня мероприятий подпрограммы 1, осуществляется путем проведения КРТ в рамках своей компетенции совещаний, консультаций и иных организационных мероприятий с ИОГВ.</w:t>
      </w:r>
    </w:p>
    <w:p w:rsidR="0087504D" w:rsidRDefault="0087504D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87504D"/>
    <w:p w:rsidR="0087504D" w:rsidRDefault="00685926">
      <w:pPr>
        <w:pStyle w:val="a3"/>
        <w:spacing w:after="0" w:line="240" w:lineRule="auto"/>
        <w:ind w:left="0"/>
        <w:contextualSpacing w:val="0"/>
        <w:jc w:val="center"/>
        <w:rPr>
          <w:b/>
        </w:rPr>
      </w:pPr>
      <w:r>
        <w:rPr>
          <w:rFonts w:ascii="Times New Roman" w:hAnsi="Times New Roman"/>
          <w:b/>
          <w:sz w:val="24"/>
        </w:rPr>
        <w:t>10. Подпрограмма 2</w:t>
      </w:r>
    </w:p>
    <w:p w:rsidR="0087504D" w:rsidRDefault="00685926">
      <w:pPr>
        <w:pStyle w:val="a3"/>
        <w:spacing w:after="0" w:line="240" w:lineRule="auto"/>
        <w:ind w:left="0"/>
        <w:contextualSpacing w:val="0"/>
        <w:jc w:val="center"/>
      </w:pPr>
      <w:r>
        <w:rPr>
          <w:rFonts w:ascii="Times New Roman" w:hAnsi="Times New Roman"/>
          <w:b/>
          <w:sz w:val="24"/>
        </w:rPr>
        <w:t xml:space="preserve">10.1. </w:t>
      </w:r>
      <w:r>
        <w:rPr>
          <w:rFonts w:ascii="Times New Roman" w:hAnsi="Times New Roman"/>
          <w:b/>
          <w:sz w:val="24"/>
        </w:rPr>
        <w:t>Паспорт подпрограммы 2</w:t>
      </w:r>
    </w:p>
    <w:tbl>
      <w:tblPr>
        <w:tblStyle w:val="TableGrid2"/>
        <w:tblW w:w="9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0"/>
        <w:gridCol w:w="2835"/>
        <w:gridCol w:w="6660"/>
      </w:tblGrid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87504D" w:rsidRDefault="00685926">
            <w:pPr>
              <w:spacing w:line="262" w:lineRule="atLeast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Исполнители подпрограммы 2</w:t>
            </w:r>
          </w:p>
        </w:tc>
        <w:tc>
          <w:tcPr>
            <w:tcW w:w="6660" w:type="dxa"/>
          </w:tcPr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КЗ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КРТ</w:t>
            </w: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Участник(и) государственной программы (в части реализации подпрограммы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660" w:type="dxa"/>
          </w:tcPr>
          <w:p w:rsidR="0087504D" w:rsidRDefault="0087504D">
            <w:pPr>
              <w:rPr>
                <w:rFonts w:eastAsia="Times New Roman" w:cs="Times New Roman"/>
              </w:rPr>
            </w:pP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87504D" w:rsidRDefault="00685926">
            <w:pPr>
              <w:spacing w:line="262" w:lineRule="atLeast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подпрограммы 2</w:t>
            </w:r>
          </w:p>
        </w:tc>
        <w:tc>
          <w:tcPr>
            <w:tcW w:w="6660" w:type="dxa"/>
          </w:tcPr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спектра, повышение качества и доступности предоставляемых туристских услуг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87504D" w:rsidRDefault="00685926">
            <w:pPr>
              <w:rPr>
                <w:rFonts w:eastAsia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60" w:type="dxa"/>
          </w:tcPr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культурно-познавательного туризма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событийного туризма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делового туризма и конгрессно-выставочной деятельности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медицинского туризма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туризма для людей с ограниченными физическими возможностями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качества туристских услуг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детского туризма</w:t>
            </w: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Региональные проекты, реализуемые в рамках подпрограммы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60" w:type="dxa"/>
          </w:tcPr>
          <w:p w:rsidR="0087504D" w:rsidRDefault="0087504D">
            <w:pPr>
              <w:rPr>
                <w:rFonts w:eastAsia="Times New Roman" w:cs="Times New Roman"/>
              </w:rPr>
            </w:pP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Общий объем финансирования подпрограммы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источникам финансирования с указанием объема финансирования, предусмотренного на реализацию региональных проектов, в том числе по годам реализации</w:t>
            </w:r>
          </w:p>
        </w:tc>
        <w:tc>
          <w:tcPr>
            <w:tcW w:w="666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Общий объем финансирования подпрограммы составляет 6371464,3 тыс. руб., в том числе: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счет средств бюдж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ета Санкт-Петербурга – 6371464,3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г. – 1543963,0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 908456,7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 г. – 922972,2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959891,0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2028 г. – 998206,6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1037974,8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счет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средств федерального бюджета – 0,0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2028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0,0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счет внебюджетных средств – 0,0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2028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0,0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Общий объем финансирования региональных проектов составляет 0,0 тыс.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руб., в том числе: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счет средств бюджета Санкт-Петербурга – 0,0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2028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0,0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счет средств федерального бюджета – 0,0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2028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0,0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счет внебюджетных средств –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2028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0,0 тыс. руб.;</w:t>
            </w: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87504D" w:rsidRDefault="00685926">
            <w:pPr>
              <w:rPr>
                <w:rFonts w:eastAsia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Ожидаемые результаты реализации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60" w:type="dxa"/>
          </w:tcPr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туристского пространства Санкт-Петербурга;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устойчивого спроса на посещение объектов исторического и культурного наследия 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Санкт-Петербурга;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вовлеченности туристов в событийные мероприятия, организуемые КРТ;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системы оценк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эффективности мероприятий и качества услуг в сфере 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конгрессно-выставочной деятельности;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специальной программы поддержки российских членов международных ассоциаций в целях стимулирования привлечения международных мероприятий для их прове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дения в Санкт-Петербурге – программы амбассадоров;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к 2029 году не менее чем в 2,2 раза количества проведенных в Санкт-Петербурге конгрессно-выставочных мероприятий по сравнению с 2017 годом;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улучшение позиции Санкт-Петербурга в международных и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российских рейтингах конгрессно-выставочных городов (в том числе путем проведения к концу 2029 года не менее 80 крупных международных конгрессно-выставочных мероприятий, включенных в календарь конгрессно-выставочных мероприятий с публикацией на сайте ГБУ «</w:t>
            </w:r>
            <w:r>
              <w:rPr>
                <w:rFonts w:ascii="Times New Roman" w:eastAsia="Times New Roman" w:hAnsi="Times New Roman" w:cs="Times New Roman"/>
                <w:sz w:val="24"/>
              </w:rPr>
              <w:t>КВБ»);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доступности объектов туристской инфраструктуры для инвалидов и иных категорий маломобильных граждан;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стандарта качества предоставления туристских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услуг в Санкт-Петербурге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</w:tc>
      </w:tr>
    </w:tbl>
    <w:p w:rsidR="0087504D" w:rsidRDefault="0087504D">
      <w:pPr>
        <w:rPr>
          <w:rFonts w:eastAsia="Times New Roman" w:cs="Times New Roman"/>
        </w:rPr>
        <w:sectPr w:rsidR="0087504D">
          <w:pgSz w:w="11907" w:h="16839" w:code="9"/>
          <w:pgMar w:top="1133" w:right="850" w:bottom="1133" w:left="1700" w:header="708" w:footer="708" w:gutter="0"/>
          <w:cols w:space="720"/>
        </w:sectPr>
      </w:pPr>
    </w:p>
    <w:p w:rsidR="0087504D" w:rsidRDefault="0087504D">
      <w:pPr>
        <w:rPr>
          <w:rFonts w:eastAsia="Times New Roman" w:cs="Times New Roman"/>
        </w:rPr>
      </w:pPr>
    </w:p>
    <w:p w:rsidR="0087504D" w:rsidRDefault="0087504D">
      <w:pPr>
        <w:rPr>
          <w:rFonts w:eastAsia="Times New Roman" w:cs="Times New Roman"/>
        </w:rPr>
      </w:pPr>
    </w:p>
    <w:p w:rsidR="0087504D" w:rsidRDefault="00685926">
      <w:pPr>
        <w:widowControl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10.2. Характеристика текущего состо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яния и направлений</w:t>
      </w:r>
    </w:p>
    <w:p w:rsidR="0087504D" w:rsidRDefault="00685926">
      <w:pPr>
        <w:pStyle w:val="a4"/>
        <w:spacing w:before="0" w:beforeAutospacing="0" w:after="0" w:afterAutospacing="0" w:line="288" w:lineRule="atLeast"/>
        <w:ind w:firstLine="540"/>
        <w:jc w:val="center"/>
        <w:rPr>
          <w:b/>
        </w:rPr>
      </w:pPr>
      <w:r>
        <w:rPr>
          <w:b/>
        </w:rPr>
        <w:t>развития предоставляемых в Санкт-Петербурге туристских услуг с указанием основных проблем и прогноз его развития</w:t>
      </w:r>
    </w:p>
    <w:p w:rsidR="0087504D" w:rsidRDefault="0087504D">
      <w:pPr>
        <w:widowControl w:val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 как культурная столица традиционно привлекает гостей своим уникальным культурно-историческим наследием, </w:t>
      </w:r>
      <w:r>
        <w:rPr>
          <w:rFonts w:ascii="Times New Roman" w:eastAsia="Times New Roman" w:hAnsi="Times New Roman" w:cs="Times New Roman"/>
          <w:sz w:val="24"/>
          <w:szCs w:val="24"/>
        </w:rPr>
        <w:t>занимая по количеству архитектурных памятников и музеев одно из лидирующих мест в мире. Однако для обеспечения конкурентоспособности сферы туризма Санкт-Петербурга в долгосрочной перспективе необходимо обеспечить комплементарность и диверсификацию туристск</w:t>
      </w:r>
      <w:r>
        <w:rPr>
          <w:rFonts w:ascii="Times New Roman" w:eastAsia="Times New Roman" w:hAnsi="Times New Roman" w:cs="Times New Roman"/>
          <w:sz w:val="24"/>
          <w:szCs w:val="24"/>
        </w:rPr>
        <w:t>ого предложения в Санкт-Петербурге. Планомерное развитие различных видов туризма позволит преодолеть фактор сезонности на спрос туристского продукта, который в Санкт-Петербурге прежде всего обусловлен климатическими особенностями.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26">
        <w:r>
          <w:rPr>
            <w:rFonts w:ascii="Times New Roman" w:eastAsia="Times New Roman" w:hAnsi="Times New Roman" w:cs="Times New Roman"/>
            <w:sz w:val="24"/>
            <w:szCs w:val="24"/>
          </w:rPr>
          <w:t>статье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Закона Санкт-Петербурга № 741-126 определены приоритетные направления развития туризма в Санкт-Петербург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е. Их развитие способствует решению задачи по переориентации части потребительского спроса россиян в сфере туризма на внутренний туризм, обозначенной в </w:t>
      </w:r>
      <w:hyperlink r:id="rId27">
        <w:r>
          <w:rPr>
            <w:rFonts w:ascii="Times New Roman" w:eastAsia="Times New Roman" w:hAnsi="Times New Roman" w:cs="Times New Roman"/>
            <w:sz w:val="24"/>
            <w:szCs w:val="24"/>
          </w:rPr>
          <w:t>Стратегии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от 20.09.2019 № 2129-р, государственной программе Российск</w:t>
      </w:r>
      <w:r>
        <w:rPr>
          <w:rFonts w:ascii="Times New Roman" w:eastAsia="Times New Roman" w:hAnsi="Times New Roman" w:cs="Times New Roman"/>
          <w:sz w:val="24"/>
          <w:szCs w:val="24"/>
        </w:rPr>
        <w:t>ой Федерации «</w:t>
      </w:r>
      <w:hyperlink r:id="rId28">
        <w:r>
          <w:rPr>
            <w:rFonts w:ascii="Times New Roman" w:eastAsia="Times New Roman" w:hAnsi="Times New Roman" w:cs="Times New Roman"/>
            <w:sz w:val="24"/>
            <w:szCs w:val="24"/>
          </w:rPr>
          <w:t>Развитие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культуры», утвержденной постановлением Правительства Российской Федерац</w:t>
      </w:r>
      <w:r>
        <w:rPr>
          <w:rFonts w:ascii="Times New Roman" w:eastAsia="Times New Roman" w:hAnsi="Times New Roman" w:cs="Times New Roman"/>
          <w:sz w:val="24"/>
          <w:szCs w:val="24"/>
        </w:rPr>
        <w:t>ии от 15.04.2014 № 317, и государственной программе Российской Федерации «</w:t>
      </w:r>
      <w:hyperlink r:id="rId29">
        <w:r>
          <w:rPr>
            <w:rFonts w:ascii="Times New Roman" w:eastAsia="Times New Roman" w:hAnsi="Times New Roman" w:cs="Times New Roman"/>
            <w:sz w:val="24"/>
            <w:szCs w:val="24"/>
          </w:rPr>
          <w:t>Экономическое ра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звитие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инновационная экономика», утвержденной постановлением Правительства Российской Федерации от 15.04.2014 № 316, а также создает необходимые условия для устойчивого развития въездного туризма.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Сфера реализации подпрограммы 2 охватывает: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куль</w:t>
      </w:r>
      <w:r>
        <w:rPr>
          <w:rFonts w:ascii="Times New Roman" w:eastAsia="Times New Roman" w:hAnsi="Times New Roman" w:cs="Times New Roman"/>
          <w:sz w:val="24"/>
          <w:szCs w:val="24"/>
        </w:rPr>
        <w:t>турно-познавательного туризма;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событийного туризма;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делового туризма и конгрессно-выставочной деятельности;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медицинского туризма;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туризма для людей с ограниченными физическими возможностями;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детского туризма.</w:t>
      </w:r>
    </w:p>
    <w:p w:rsidR="0087504D" w:rsidRDefault="0087504D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0.2.1. Развитие культурно-познавательного туризма</w:t>
      </w:r>
    </w:p>
    <w:p w:rsidR="0087504D" w:rsidRDefault="0087504D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Культурно-познавательный туризм на сегодняшний день является одним из самых распространенных видов туризма, а для Санкт-Петербурга – лидирующим.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ростом численности людей, интересующихся культурой, достоп</w:t>
      </w:r>
      <w:r>
        <w:rPr>
          <w:rFonts w:ascii="Times New Roman" w:eastAsia="Times New Roman" w:hAnsi="Times New Roman" w:cs="Times New Roman"/>
          <w:sz w:val="24"/>
          <w:szCs w:val="24"/>
        </w:rPr>
        <w:t>римечательностями, историей тех или иных регионов, данный вид туризма становится все популярней. Во время экскурсий человек получает более точную и развернутую информацию о том, что его интересует. Однако с развитием цифровых технологий и цифровых источник</w:t>
      </w:r>
      <w:r>
        <w:rPr>
          <w:rFonts w:ascii="Times New Roman" w:eastAsia="Times New Roman" w:hAnsi="Times New Roman" w:cs="Times New Roman"/>
          <w:sz w:val="24"/>
          <w:szCs w:val="24"/>
        </w:rPr>
        <w:t>ов получения информации о дестинации привлечь туриста на традиционный, пусть качественный и интересный, маршрут все сложнее. Меняется и сам тип путешественника. Турист становится требовательнее и пытливее. Его интересуют не только общеизвестные места притя</w:t>
      </w:r>
      <w:r>
        <w:rPr>
          <w:rFonts w:ascii="Times New Roman" w:eastAsia="Times New Roman" w:hAnsi="Times New Roman" w:cs="Times New Roman"/>
          <w:sz w:val="24"/>
          <w:szCs w:val="24"/>
        </w:rPr>
        <w:t>жения, но и быт людей той местности, куда он приезжает, «нетуристические» места, в которых он может почувствовать жизнь и самобытность посещаемой им дестинации.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 может предложить огромное количество туристских маршрутов на любой вкус, для ра</w:t>
      </w:r>
      <w:r>
        <w:rPr>
          <w:rFonts w:ascii="Times New Roman" w:eastAsia="Times New Roman" w:hAnsi="Times New Roman" w:cs="Times New Roman"/>
          <w:sz w:val="24"/>
          <w:szCs w:val="24"/>
        </w:rPr>
        <w:t>зной целевой аудитории. Зачастую туристам предлагаются стандартные, проверенные маршруты, включающие традиционные для массового туриста объекты. Формирование нестандартных маршрутов требует дополнительных финансовых и интеллектуальных затрат. Малоизвестные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точки зрения дестинации объекты могут стать наиболее запоминающимися для путешественника, создать его уникальный опыт, который может заставить его поделиться им в своей социокультурной среде. Для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дестинации распределение туристского потока к малоизвестн</w:t>
      </w:r>
      <w:r>
        <w:rPr>
          <w:rFonts w:ascii="Times New Roman" w:eastAsia="Times New Roman" w:hAnsi="Times New Roman" w:cs="Times New Roman"/>
          <w:sz w:val="24"/>
          <w:szCs w:val="24"/>
        </w:rPr>
        <w:t>ым, но не малозначимым объектам будет способствовать формированию положительного образа, привлечению новых целевых групп туристов, как следствие, стимулированию экономического роста и, возможно, формированию новых туристских предложений города. С учетом вы</w:t>
      </w:r>
      <w:r>
        <w:rPr>
          <w:rFonts w:ascii="Times New Roman" w:eastAsia="Times New Roman" w:hAnsi="Times New Roman" w:cs="Times New Roman"/>
          <w:sz w:val="24"/>
          <w:szCs w:val="24"/>
        </w:rPr>
        <w:t>шесказанного в целях дальнейшего развития культурно-познавательного туризма целесообразно создание и продвижение нестандартных маршрутов, объединенных ранее малоизвестной для широкой публики темой, продвижение и поддержка уже существующих маршрутов, ориент</w:t>
      </w:r>
      <w:r>
        <w:rPr>
          <w:rFonts w:ascii="Times New Roman" w:eastAsia="Times New Roman" w:hAnsi="Times New Roman" w:cs="Times New Roman"/>
          <w:sz w:val="24"/>
          <w:szCs w:val="24"/>
        </w:rPr>
        <w:t>ированных на новые целевые рынки и аудитории и способствующих возвратности туристов.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интересного и познавательного пребывания гостей в Санкт-Петербурге ежегодно разрабатываются новые тематические маршруты, информация о которых публикуется на </w:t>
      </w:r>
      <w:r>
        <w:rPr>
          <w:rFonts w:ascii="Times New Roman" w:eastAsia="Times New Roman" w:hAnsi="Times New Roman" w:cs="Times New Roman"/>
          <w:sz w:val="24"/>
          <w:szCs w:val="24"/>
        </w:rPr>
        <w:t>официальном городском туристическом портале Visit Petersburg. Дополнительно публикуются печатные версии буклетов и маршрутов, которые распространяются через информационные центры Visit Petersburg.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2016 года в Санкт-Петербурге реализуется проект «Музейные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вечера», направленный на снижение фактора сезонности и перераспределение туристских потоков в Санкт-Петербурге путем расширения числа музеев, включаемых в программы туроператоров Санкт-Петербурга.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развития культурно-познавательного туризма в рамка</w:t>
      </w:r>
      <w:r>
        <w:rPr>
          <w:rFonts w:ascii="Times New Roman" w:eastAsia="Times New Roman" w:hAnsi="Times New Roman" w:cs="Times New Roman"/>
          <w:sz w:val="24"/>
          <w:szCs w:val="24"/>
        </w:rPr>
        <w:t>х ежегодно проводимого Санкт-Петербургского международного культурного форума с 2018 года проводится ежегодная международная многосекционная конференция по содействию вовлечению объектов культурного и природного наследия, субъектов деятельности по организа</w:t>
      </w:r>
      <w:r>
        <w:rPr>
          <w:rFonts w:ascii="Times New Roman" w:eastAsia="Times New Roman" w:hAnsi="Times New Roman" w:cs="Times New Roman"/>
          <w:sz w:val="24"/>
          <w:szCs w:val="24"/>
        </w:rPr>
        <w:t>ции отдыха и развлечений, культуры и спорта в региональные и мировые туристские маршруты. Проведение конференции способствует расширению межрегионального и международного сотрудничества в области туризма, укреплению деловых связей в сфере культуры и спорта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продвижению имиджа Санкт-Петербурга как конгрессно-выставочного центра Российской Федерации мирового уровня и повышению туристической привлекательности Санкт-Петербурга.</w:t>
      </w:r>
    </w:p>
    <w:p w:rsidR="0087504D" w:rsidRDefault="00685926">
      <w:pPr>
        <w:shd w:val="clear" w:color="auto" w:fill="FFFFFF"/>
        <w:tabs>
          <w:tab w:val="left" w:pos="60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продвижения имиджа Санкт-Петербурга как дестинации для культурно-познавательного туризма и увеличения туристских потоковв Санкт-Петербург, а также в рамках соглашения о сотрудничестве между КРТ и Комитетом по туризму города Москвы был запущен и успешно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проект «Два города – миллион впечатлений», задачей которого является формирование образа уникального единого туристического кластера и продвижение туристического потенциала двух столиц. </w:t>
      </w:r>
    </w:p>
    <w:p w:rsidR="0087504D" w:rsidRDefault="006859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Одной из целей сотрудничества также является создание пл</w:t>
      </w:r>
      <w:r>
        <w:rPr>
          <w:rFonts w:ascii="Times New Roman" w:eastAsia="Calibri" w:hAnsi="Times New Roman" w:cs="Times New Roman"/>
          <w:sz w:val="24"/>
          <w:szCs w:val="24"/>
        </w:rPr>
        <w:t>атформы, на базе которой будут аккумулироваться данные о партнерских туристских продуктах обеих столиц.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 ее помощью планируется рассказать гостям о богатой культурной повестке Москвы и Санкт-Петербурга, многообразии предложений в сфере спортивного, делово</w:t>
      </w:r>
      <w:r>
        <w:rPr>
          <w:rFonts w:ascii="Times New Roman" w:eastAsia="Calibri" w:hAnsi="Times New Roman" w:cs="Times New Roman"/>
          <w:sz w:val="24"/>
          <w:szCs w:val="24"/>
        </w:rPr>
        <w:t>го и иного туризма. На специальной веб-странице проекта RUSSPASS journal.russpass.ru/msk_spb размещен календарь событий, с помощью которого можно составить уникальный план своей поездки. Экскурсионные маршруты и экскурсионные пакеты подготовлены под различ</w:t>
      </w:r>
      <w:r>
        <w:rPr>
          <w:rFonts w:ascii="Times New Roman" w:eastAsia="Calibri" w:hAnsi="Times New Roman" w:cs="Times New Roman"/>
          <w:sz w:val="24"/>
          <w:szCs w:val="24"/>
        </w:rPr>
        <w:t>ные запросы.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развития межрегионального культурно-познавательного туризма Санкт-Петербург участвует в реализации межрегионального историко-культурного и туристского проекта «Серебряное ожерелье России». Указанный проект включает в себя комплекс мар</w:t>
      </w:r>
      <w:r>
        <w:rPr>
          <w:rFonts w:ascii="Times New Roman" w:eastAsia="Times New Roman" w:hAnsi="Times New Roman" w:cs="Times New Roman"/>
          <w:sz w:val="24"/>
          <w:szCs w:val="24"/>
        </w:rPr>
        <w:t>шрутов, объединяющих исторические города, областные центры, крупные населенные пункты Северо-Запада Российской Федерации, в которых сохранились уникальные памятники истории и культуры, а также природные объекты, в том числе включенные в Список всемирного н</w:t>
      </w:r>
      <w:r>
        <w:rPr>
          <w:rFonts w:ascii="Times New Roman" w:eastAsia="Times New Roman" w:hAnsi="Times New Roman" w:cs="Times New Roman"/>
          <w:sz w:val="24"/>
          <w:szCs w:val="24"/>
        </w:rPr>
        <w:t>аследия ЮНЕСКО. Указанный проект объединяет 11 субъектов, входящих в состав Северо-Западного федерального округа. В рамках реализации указанного проекта принято участие в пяти конференциях и выставках, проведены диалоговые мероприятия с регионами Северо-За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падного федерального округа,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проведены мероприятия по продвижению межрегиональных маршрутов и туристских продуктов.</w:t>
      </w:r>
    </w:p>
    <w:p w:rsidR="0087504D" w:rsidRDefault="0087504D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10.2.2. Развитие событийного туризма</w:t>
      </w:r>
    </w:p>
    <w:p w:rsidR="0087504D" w:rsidRDefault="0087504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Событийный туризм ориентирован на посещение местности в определенное время, отмеченное каким-либо соб</w:t>
      </w:r>
      <w:r>
        <w:rPr>
          <w:rFonts w:ascii="Times New Roman" w:eastAsia="Times New Roman" w:hAnsi="Times New Roman" w:cs="Times New Roman"/>
          <w:sz w:val="24"/>
          <w:szCs w:val="24"/>
        </w:rPr>
        <w:t>ытием из области культуры, спорта, искусства. Событие может иметь вид разового неповторимого явления или периодического, наблюдаемого ежегодно или в определенные периоды времени. Событийный туризм в большинстве своем – это индивидуальный вид отдыха, которы</w:t>
      </w:r>
      <w:r>
        <w:rPr>
          <w:rFonts w:ascii="Times New Roman" w:eastAsia="Times New Roman" w:hAnsi="Times New Roman" w:cs="Times New Roman"/>
          <w:sz w:val="24"/>
          <w:szCs w:val="24"/>
        </w:rPr>
        <w:t>й наполнен постоянной атмосферой праздника.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специалисты делят событийный туризм на девять основных видов: национальные фестивали и праздники, театрализованные шоу, фестивали кино и театра, гастрономические фестивали, фестивали и выставки </w:t>
      </w:r>
      <w:r>
        <w:rPr>
          <w:rFonts w:ascii="Times New Roman" w:eastAsia="Times New Roman" w:hAnsi="Times New Roman" w:cs="Times New Roman"/>
          <w:sz w:val="24"/>
          <w:szCs w:val="24"/>
        </w:rPr>
        <w:t>цветов, модные показы, аукционы, фестивали музыки и музыкальные конкурсы, спортивные события.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30">
        <w:r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от 13.03.2018 № 172 «О Порядке формирования Единого календаря событий Санкт-Петербурга» КРТ ежегодно разрабатывается Единый календарь событий Санкт-Петербурга, в котором представлена полная и актуальная информац</w:t>
      </w:r>
      <w:r>
        <w:rPr>
          <w:rFonts w:ascii="Times New Roman" w:eastAsia="Times New Roman" w:hAnsi="Times New Roman" w:cs="Times New Roman"/>
          <w:sz w:val="24"/>
          <w:szCs w:val="24"/>
        </w:rPr>
        <w:t>ия о проводимых в Санкт-Петербурге мероприятиях.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Единый календарь событий Санкт-Петербурга размещается на официальном городском туристском портале Санкт-Петербурга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Visit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Petersburg</w:t>
      </w:r>
      <w:r>
        <w:rPr>
          <w:rFonts w:ascii="Times New Roman" w:eastAsia="Times New Roman" w:hAnsi="Times New Roman" w:cs="Times New Roman"/>
          <w:sz w:val="24"/>
          <w:szCs w:val="24"/>
        </w:rPr>
        <w:t>. Раздел «ТОП-25» Единого календаря событий Санкт-Петербурга издается в печа</w:t>
      </w:r>
      <w:r>
        <w:rPr>
          <w:rFonts w:ascii="Times New Roman" w:eastAsia="Times New Roman" w:hAnsi="Times New Roman" w:cs="Times New Roman"/>
          <w:sz w:val="24"/>
          <w:szCs w:val="24"/>
        </w:rPr>
        <w:t>тном виде.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развития событийного туризма КРТ организует мероприятия, которые имеют значимый имиджевый статус для Санкт-Петербурга как центра событийного туризма. В 2023 году КРТ проведен ряд масштабных мероприятий, направленных на развитие событийн</w:t>
      </w:r>
      <w:r>
        <w:rPr>
          <w:rFonts w:ascii="Times New Roman" w:eastAsia="Times New Roman" w:hAnsi="Times New Roman" w:cs="Times New Roman"/>
          <w:sz w:val="24"/>
          <w:szCs w:val="24"/>
        </w:rPr>
        <w:t>ого туризма и привлечение в Санкт-Петербург российских и иностранных туристов. Среди проводимых мероприятий: фестиваль ледовых скульптур «КроншЛёд», Открытие летнего туристского сезона. Фестиваль ледоколов, Петровский Фестиваль огня, Международный Фестивал</w:t>
      </w:r>
      <w:r>
        <w:rPr>
          <w:rFonts w:ascii="Times New Roman" w:eastAsia="Times New Roman" w:hAnsi="Times New Roman" w:cs="Times New Roman"/>
          <w:sz w:val="24"/>
          <w:szCs w:val="24"/>
        </w:rPr>
        <w:t>ь цветов, Фестиваль духовых оркестров, Праздник Петра Великого, Фестиваль «Столица водного туризма. Петровская акватория», Фонтанка SUP, Фестиваль-ярмарка «Натуральное путешествие», Фестиваль «Чудо света», Новогоднее мультимедийное шоу.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событийног</w:t>
      </w:r>
      <w:r>
        <w:rPr>
          <w:rFonts w:ascii="Times New Roman" w:eastAsia="Times New Roman" w:hAnsi="Times New Roman" w:cs="Times New Roman"/>
          <w:sz w:val="24"/>
          <w:szCs w:val="24"/>
        </w:rPr>
        <w:t>о туризма в Санкт-Петербурге тесно связано с увеличением количества знаковых общегородских мероприятий, проводимых в низкий сезон, что непосредственно влияет на загрузку коллективных средств размещения. В настоящее время значительная часть мероприятий целе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направленно проводится в осенне-зимний сезон. 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в целях снижения фактора сезонности КРТ реализуются проекты «Всесезонный туризм» и «Свадебный Петербург», развивается направление гастрономического туризма, разрабатываются специальные программы лояльнос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период низкого туристского сезона.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Целенаправленная и планомерная реализация на протяжении всего года проектов, представляющих собой историческую, культурную, спортивную ценность и важность, а также проведение мероприятий по их продвижению позволяют п</w:t>
      </w:r>
      <w:r>
        <w:rPr>
          <w:rFonts w:ascii="Times New Roman" w:eastAsia="Times New Roman" w:hAnsi="Times New Roman" w:cs="Times New Roman"/>
          <w:sz w:val="24"/>
          <w:szCs w:val="24"/>
        </w:rPr>
        <w:t>ривлечь в Санкт-Петербург дополнительное число туристов и снизить эффект сезонности туризма.</w:t>
      </w:r>
    </w:p>
    <w:p w:rsidR="0087504D" w:rsidRDefault="0087504D">
      <w:pPr>
        <w:widowControl w:val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04D" w:rsidRDefault="00685926">
      <w:pPr>
        <w:widowControl w:val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10.2.3. Развитие делового туризма и конгрессно-выставочной деятельности</w:t>
      </w:r>
    </w:p>
    <w:p w:rsidR="0087504D" w:rsidRDefault="0087504D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Конгрессно-выставочная деятельность (деловой туризм) является эффективным инструментом развития хозяйственных отношений и интеграционных процессов. Будучи непосредственно связанным с большинством отраслей экономики, данный вид туризма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обладает высоким куму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лятивным потенциалом и содействует устойчивому социально-экономическому развитию Санкт-Петербурга. 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региональном уровне конгрессно-выставочная деятельность: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реализует конкурентный и инновационный потенциал территории;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формированию </w:t>
      </w:r>
      <w:r>
        <w:rPr>
          <w:rFonts w:ascii="Times New Roman" w:eastAsia="Times New Roman" w:hAnsi="Times New Roman" w:cs="Times New Roman"/>
          <w:sz w:val="24"/>
          <w:szCs w:val="24"/>
        </w:rPr>
        <w:t>положительного внешнего имиджа Санкт-Петербурга с точки зрения инвестиционной привлекательности;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расширяет доступ к инновационным технологиям, специализированным услугам, совместным кооперационным проектам;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способствует продвижению товаров, услуг и результ</w:t>
      </w:r>
      <w:r>
        <w:rPr>
          <w:rFonts w:ascii="Times New Roman" w:eastAsia="Times New Roman" w:hAnsi="Times New Roman" w:cs="Times New Roman"/>
          <w:sz w:val="24"/>
          <w:szCs w:val="24"/>
        </w:rPr>
        <w:t>атов научно-исследовательской и образовательной деятельности предприятий, организаций и учреждений Санкт-Петербурга на внутреннем и внешнем рынках;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содействует развитию и укреплению международных и межрегиональных связей, формированию, продвижению и капита</w:t>
      </w:r>
      <w:r>
        <w:rPr>
          <w:rFonts w:ascii="Times New Roman" w:eastAsia="Times New Roman" w:hAnsi="Times New Roman" w:cs="Times New Roman"/>
          <w:sz w:val="24"/>
          <w:szCs w:val="24"/>
        </w:rPr>
        <w:t>лизации метабренда Санкт-Петербурга;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содействует занятости населения за счет создания новых рабочих мест;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создает условия для роста делового, культурно-познавательного и событийного туризма, развития отраслевой инфраструктуры;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влияет на суммарный торгово-э</w:t>
      </w:r>
      <w:r>
        <w:rPr>
          <w:rFonts w:ascii="Times New Roman" w:eastAsia="Times New Roman" w:hAnsi="Times New Roman" w:cs="Times New Roman"/>
          <w:sz w:val="24"/>
          <w:szCs w:val="24"/>
        </w:rPr>
        <w:t>кономический эффект и бюджетную эффективность благодаря увеличению ВРП.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Деловой туризм способен значительно повлиять на решение проблемы сезонности туристского потока, поскольку деловые мероприятия в основном проводятся в межсезонье. Пиковыми сезонами для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выставок являются периоды с марта по май и с сентября по ноябрь.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 может занять лидирующее положение на выставочно-конгрессном рынке в ближайшее время, обладая следующими конкурентными преимуществами: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культурно-историческое и архи</w:t>
      </w:r>
      <w:r>
        <w:rPr>
          <w:rFonts w:ascii="Times New Roman" w:eastAsia="Times New Roman" w:hAnsi="Times New Roman" w:cs="Times New Roman"/>
          <w:sz w:val="24"/>
          <w:szCs w:val="24"/>
        </w:rPr>
        <w:t>тектурное наследие Санкт-Петербурга;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уникальная инфраструктура, которая может быть использована для проведения выставочно-конгрессных мероприятий (дворцы, музеи и т.д.);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выгодное геополитическое положение;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развитая многоотраслевая экономика, наличие крупне</w:t>
      </w:r>
      <w:r>
        <w:rPr>
          <w:rFonts w:ascii="Times New Roman" w:eastAsia="Times New Roman" w:hAnsi="Times New Roman" w:cs="Times New Roman"/>
          <w:sz w:val="24"/>
          <w:szCs w:val="24"/>
        </w:rPr>
        <w:t>йших промышленных предприятий, научных и научно-исследовательских учреждений.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Наряду с указанными выше преимуществами Санкт-Петербурга существуют определенные факторы, которые оказывают негативное влияние на развитие выставочно-конгрессной индустрии в Санк</w:t>
      </w:r>
      <w:r>
        <w:rPr>
          <w:rFonts w:ascii="Times New Roman" w:eastAsia="Times New Roman" w:hAnsi="Times New Roman" w:cs="Times New Roman"/>
          <w:sz w:val="24"/>
          <w:szCs w:val="24"/>
        </w:rPr>
        <w:t>т-Петербурге: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недостаточное количество площадок для проведения деловых мероприятий, отвечающих международным стандартам «цена-качество», расположенных в центре Санкт-Петербурга;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системы статистического учета проводимых в Санкт-Петербурге меропри</w:t>
      </w:r>
      <w:r>
        <w:rPr>
          <w:rFonts w:ascii="Times New Roman" w:eastAsia="Times New Roman" w:hAnsi="Times New Roman" w:cs="Times New Roman"/>
          <w:sz w:val="24"/>
          <w:szCs w:val="24"/>
        </w:rPr>
        <w:t>ятий и оценки экономического эффекта конгрессной деятельности;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недостаточно высокий международный рейтинг Санкт-Петербурга как места проведения мероприятий;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 сотрудничества внутри городского бизнес-сообщества, вовлеченного в выставочно-конгре</w:t>
      </w:r>
      <w:r>
        <w:rPr>
          <w:rFonts w:ascii="Times New Roman" w:eastAsia="Times New Roman" w:hAnsi="Times New Roman" w:cs="Times New Roman"/>
          <w:sz w:val="24"/>
          <w:szCs w:val="24"/>
        </w:rPr>
        <w:t>ссную деятельность;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дефицит квалифицированных кадров, способных работать на уровне мировых стандартов в сфере выставочно-конгрессной деятельности.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структурированного и последовательного подхода к развитию делового туризма ГБУ «КВБ» ведется </w:t>
      </w:r>
      <w:r>
        <w:rPr>
          <w:rFonts w:ascii="Times New Roman" w:eastAsia="Times New Roman" w:hAnsi="Times New Roman" w:cs="Times New Roman"/>
          <w:sz w:val="24"/>
          <w:szCs w:val="24"/>
        </w:rPr>
        <w:t>работа по формированию и ведению Единого календаря конгрессно-выставочных мероприятий Санкт-Петербурга.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Единый календарь конгрессно-выставочных мероприятий Санкт-Петербурга формируется на основе соответствующих критериев, утвержденных внутренним локальным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актом, на основе которых учитываются все мероприятия, официально заявленные ИОГВ; конгрессно-выставочные мероприятия, включенные в официальные планы специализированных площадок для проведения деловых мероприятий;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конгрессные мероприятия международных отрас</w:t>
      </w:r>
      <w:r>
        <w:rPr>
          <w:rFonts w:ascii="Times New Roman" w:eastAsia="Times New Roman" w:hAnsi="Times New Roman" w:cs="Times New Roman"/>
          <w:sz w:val="24"/>
          <w:szCs w:val="24"/>
        </w:rPr>
        <w:t>левых ассоциаций, союзов, привлеченные для проведения в Санкт-Петербурге; форумы и конгрессы национального масштаба, проводимые в Санкт-Петербурге; конгрессные мероприятия, организуемые образовательными учреждениями, отраслевыми научно-исследовательскими и</w:t>
      </w:r>
      <w:r>
        <w:rPr>
          <w:rFonts w:ascii="Times New Roman" w:eastAsia="Times New Roman" w:hAnsi="Times New Roman" w:cs="Times New Roman"/>
          <w:sz w:val="24"/>
          <w:szCs w:val="24"/>
        </w:rPr>
        <w:t>нститутами; конгрессно-выставочные мероприятия, тематика которых прямо соответствует приоритетным направлениям развития Санкт-Петербурга.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Единый календарь конгрессно-выставочных мероприятий Санкт-Петербурга дает возможность собрать, обобщить и проанализиро</w:t>
      </w:r>
      <w:r>
        <w:rPr>
          <w:rFonts w:ascii="Times New Roman" w:eastAsia="Times New Roman" w:hAnsi="Times New Roman" w:cs="Times New Roman"/>
          <w:sz w:val="24"/>
          <w:szCs w:val="24"/>
        </w:rPr>
        <w:t>вать большой массив статистических данных по проводимым конгрессно-выставочным мероприятиям, планы основных организаторов и операторов по реализации новых направлений в сфере деловых мероприятий, загрузку (текущую и планируемую) основных площадок, соответс</w:t>
      </w:r>
      <w:r>
        <w:rPr>
          <w:rFonts w:ascii="Times New Roman" w:eastAsia="Times New Roman" w:hAnsi="Times New Roman" w:cs="Times New Roman"/>
          <w:sz w:val="24"/>
          <w:szCs w:val="24"/>
        </w:rPr>
        <w:t>твие проводимых мероприятий приоритетам и направлениям социально-экономической политики Санкт-Петербурга. Работа по формированию Единого календаря конгрессно-выставочных мероприятий Санкт-Петербурга позволяет собирать максимум информации для учета проводим</w:t>
      </w:r>
      <w:r>
        <w:rPr>
          <w:rFonts w:ascii="Times New Roman" w:eastAsia="Times New Roman" w:hAnsi="Times New Roman" w:cs="Times New Roman"/>
          <w:sz w:val="24"/>
          <w:szCs w:val="24"/>
        </w:rPr>
        <w:t>ых в Санкт-Петербурге конгрессных мероприятий, что в свою очередь повышает позиции Санкт-Петербурга в международном рейтинге конгрессных городов Европы и мира.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Единый календарь конгрессно-выставочных мероприятий Санкт-Петербурга формируется ежегодно, актуа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лизируется на еженедельной основе с учетом поступающих официальных данных от участников отраслевого рынка. Работа по уточнению финального количества проведенных за истекший год деловых мероприятий проводится в I квартале года, наступающего за истекшим, на </w:t>
      </w:r>
      <w:r>
        <w:rPr>
          <w:rFonts w:ascii="Times New Roman" w:eastAsia="Times New Roman" w:hAnsi="Times New Roman" w:cs="Times New Roman"/>
          <w:sz w:val="24"/>
          <w:szCs w:val="24"/>
        </w:rPr>
        <w:t>основе официальных данных по фактически проведенным мероприятиям.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учетом важности развития конгрессно-выставочной деятельности для Санкт-Петербурга в 2018 году была разработана программа амбассадоров – специальной программы поддержки российских членов ме</w:t>
      </w:r>
      <w:r>
        <w:rPr>
          <w:rFonts w:ascii="Times New Roman" w:eastAsia="Times New Roman" w:hAnsi="Times New Roman" w:cs="Times New Roman"/>
          <w:sz w:val="24"/>
          <w:szCs w:val="24"/>
        </w:rPr>
        <w:t>ждународных ассоциаций в целях стимулирования привлечения международных мероприятий для их проведения в Санкт-Петербурге.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Амбассадоры – ведущие представители профессиональных сообществ, имеющие влияние в своей отрасли, возможность привлекать в Санкт-Петерб</w:t>
      </w:r>
      <w:r>
        <w:rPr>
          <w:rFonts w:ascii="Times New Roman" w:eastAsia="Times New Roman" w:hAnsi="Times New Roman" w:cs="Times New Roman"/>
          <w:sz w:val="24"/>
          <w:szCs w:val="24"/>
        </w:rPr>
        <w:t>ург международные мероприятия по приоритетным отраслям экономики, а также демонстрировать культуру, наследие, научные инновации и инвестиционный потенциал Санкт-Петербурга.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амбассадоров – комплекс мероприятий, инструментов и услуг, направленных н</w:t>
      </w:r>
      <w:r>
        <w:rPr>
          <w:rFonts w:ascii="Times New Roman" w:eastAsia="Times New Roman" w:hAnsi="Times New Roman" w:cs="Times New Roman"/>
          <w:sz w:val="24"/>
          <w:szCs w:val="24"/>
        </w:rPr>
        <w:t>а содействие амбассадорам в привлечении международных деловых мероприятий в Санкт-Петербург по приоритетным отраслям экономики (наука, медицина, технологии и инновации, транспорт и связь, промышленность, социальная сфера).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Поддержка амбассадоров включает т</w:t>
      </w:r>
      <w:r>
        <w:rPr>
          <w:rFonts w:ascii="Times New Roman" w:eastAsia="Times New Roman" w:hAnsi="Times New Roman" w:cs="Times New Roman"/>
          <w:sz w:val="24"/>
          <w:szCs w:val="24"/>
        </w:rPr>
        <w:t>акие меры, как подготовка конкурсной документации и заявки на право проведения международного мероприятия, подготовка презентационных материалов, консалтинг по вопросам разработки бюджета в рамках заявки, содействие в организации инспекционных визитов, рек</w:t>
      </w:r>
      <w:r>
        <w:rPr>
          <w:rFonts w:ascii="Times New Roman" w:eastAsia="Times New Roman" w:hAnsi="Times New Roman" w:cs="Times New Roman"/>
          <w:sz w:val="24"/>
          <w:szCs w:val="24"/>
        </w:rPr>
        <w:t>ламная и информационная поддержка международного мероприятия, а также организация участия амбассадоров в международных профессиональных мероприятиях в целях презентации указанной заявки, проведения заявочной кампании и демонстрации конгрессно-выставочных в</w:t>
      </w:r>
      <w:r>
        <w:rPr>
          <w:rFonts w:ascii="Times New Roman" w:eastAsia="Times New Roman" w:hAnsi="Times New Roman" w:cs="Times New Roman"/>
          <w:sz w:val="24"/>
          <w:szCs w:val="24"/>
        </w:rPr>
        <w:t>озможностей Санкт-Петербурга на международной арене.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Международный опыт демонстрирует, что более 70 % международных мероприятий привлекаются в дестинации при активном участии амбассадоров.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амбассадоров позволит увеличить количество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проводимых в Санкт-Петербурге международных профессиональных мероприятий, окажет положительное влияние на развитие культурного, научного и инвестиционного потенциала Санкт-Петербурга, а также привлечь дополнительные средства в экономику Санкт-Петербурга.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рамках программы амбассадоров подписано 30 соглашений с амбассадорами.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рамках реализации программы в 2023 году было организовано 14 презентаций Санкт-Петербурга в рамках деловых всероссийских и международных мероприятий.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2023 году состоялось 4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 амбассадоров (II Российско-Армянская конференция по стоматологии и челюстной-лицевой хирургии, XIII Всероссийский съезд по теоретической и прикладной механике, XXIV Съезд Российского физиологического общества им. И.П. Павлова, Итоговая ассамбле</w:t>
      </w:r>
      <w:r>
        <w:rPr>
          <w:rFonts w:ascii="Times New Roman" w:eastAsia="Times New Roman" w:hAnsi="Times New Roman" w:cs="Times New Roman"/>
          <w:sz w:val="24"/>
          <w:szCs w:val="24"/>
        </w:rPr>
        <w:t>я амбассадоров).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 году в рамках привлечения международных мероприятий состоялось 6 инспекционных визитов, среди которых: инспекционный визит представителя в рамках конгресса Международной Ассоциации Когнитивно-Поведенческой терапии в 2028 году, инспе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кционный визит г-на Хешам Негма в рамках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Международного междисциплинарного Мероприятия по заболеваниям органов головы и шеи, инспекционный визит представителей индийской киноиндустрии г-на Абхиджет Патиля, Ашиша Сингха и Танужа Гарга, инспекционный визи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представителей конгрессно-выставочной отрасли в рамках Всероссийского Форума «Развитие делового туризма в регионах России», инспекционный визит представителей конгрессно-выставочной отрасли в рамках IX MICE нетворкинг форума Российского союза выставок и </w:t>
      </w:r>
      <w:r>
        <w:rPr>
          <w:rFonts w:ascii="Times New Roman" w:eastAsia="Times New Roman" w:hAnsi="Times New Roman" w:cs="Times New Roman"/>
          <w:sz w:val="24"/>
          <w:szCs w:val="24"/>
        </w:rPr>
        <w:t>ярмарок.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постоянной основе ГБУ «КВБ» ведется работа по подаче заявок в международные ассоциации на привлечение в Санкт-Петербург крупных международных ротируемых конгрессно-выставочных мероприятий. В 2023 году СПб ГБУ «КВБ» подано 18 заявок на проведени</w:t>
      </w:r>
      <w:r>
        <w:rPr>
          <w:rFonts w:ascii="Times New Roman" w:eastAsia="Times New Roman" w:hAnsi="Times New Roman" w:cs="Times New Roman"/>
          <w:sz w:val="24"/>
          <w:szCs w:val="24"/>
        </w:rPr>
        <w:t>е в городе крупных международных конгрессно-выставочных мероприятий.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заявкам, поданным в предыдущий период (2018–2022), в 2023 году обеспечено привлечение в Санкт-Петербург 2 конгрессно-выставочных мероприятия.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Дальнейшее развитие взаимодействия с отрас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левыми международными ассоциациями является одним из ключевых направлений в работе конгрессно-выставочной отрасли Санкт-Петербурга. 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 КРТ совместно с КПИИТ и иными уполномоченными ИОГВ принимает участие в реализации приоритетного проекта «Санк</w:t>
      </w:r>
      <w:r>
        <w:rPr>
          <w:rFonts w:ascii="Times New Roman" w:eastAsia="Times New Roman" w:hAnsi="Times New Roman" w:cs="Times New Roman"/>
          <w:sz w:val="24"/>
          <w:szCs w:val="24"/>
        </w:rPr>
        <w:t>т-Петербург – международный центр индустрии моды», направленного на формирование в общественном сознании имиджа Санкт-Петербурга как центра индустрии моды и легкой промышленности. В этих целях проводится работа по привлечению в Санкт-Петербург отраслевых м</w:t>
      </w:r>
      <w:r>
        <w:rPr>
          <w:rFonts w:ascii="Times New Roman" w:eastAsia="Times New Roman" w:hAnsi="Times New Roman" w:cs="Times New Roman"/>
          <w:sz w:val="24"/>
          <w:szCs w:val="24"/>
        </w:rPr>
        <w:t>еждународных конгрессно-выставочных мероприятий.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количество конгрессно-выставочных мероприятий, проводимых в Санкт-Петербурге, увеличилось с 343 в 2017 году до 630 в 2023 году.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Число прибытий российских деловых туристов в Санкт-Петербург в 2023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составило порядка 1204 тыс. (13,6 % от всего внутреннего туристского потока). В 2022 году аналогичный показатель оценивался в 938 тыс. прибытий (12,1 % от внутреннего туристского потока). 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чек на поездку для туристов, посетивших город с целью делов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туризма, составил в 2023 году около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46,6 тыс. руб./человека – для российских туристов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порядка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82,5 тыс. руб./человека за поездку – для туристов из стран ближнего зарубежья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около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157 тыс. руб./человека за поездку для туристов из стран дальнего зарубе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жья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 году туристские и конгрессно-выставочные возможности Санкт-Петербурга презентованы на 18 специализированных международных выставках в Российской Федерации и странах Европы, Латинской Америке, Ближнем Востоке, Азии с участием предприятий туристс</w:t>
      </w:r>
      <w:r>
        <w:rPr>
          <w:rFonts w:ascii="Times New Roman" w:eastAsia="Times New Roman" w:hAnsi="Times New Roman" w:cs="Times New Roman"/>
          <w:sz w:val="24"/>
          <w:szCs w:val="24"/>
        </w:rPr>
        <w:t>кой и конгрессно-выставочной отрасли Санкт-Петербурга.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привлечения международных деловых мероприятий с 2018 года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Санкт-Петербурге реализуется практика предоставления субсидий социально ориентированным некоммерческим организациям на возмещение 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 затрат, связанных с организацией конгрессно-выставочных мероприятий. В 2018 году субсидии были предоставлены 11 организациям, в 2019 – 26 организациям, в 2022 году поддержаны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 конгрессно-выставочных мероприятий на общую сумму 19,7 млн.руб., в 2023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поддержку получили 15 конгрессно-выставочных мероприятий на общую сумму 30,5 млн. руб.</w:t>
      </w:r>
    </w:p>
    <w:p w:rsidR="0087504D" w:rsidRDefault="0087504D">
      <w:pPr>
        <w:ind w:firstLine="54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7504D" w:rsidRDefault="00685926">
      <w:pPr>
        <w:widowControl w:val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10.2.4. Развитие медицинского туризма</w:t>
      </w:r>
    </w:p>
    <w:p w:rsidR="0087504D" w:rsidRDefault="0087504D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Медицинский туризм является сравнительно новым, но при этом перспективным направлением туризма, активно развивающимся во многи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странах. В соответствии со </w:t>
      </w:r>
      <w:hyperlink r:id="rId31">
        <w:r>
          <w:rPr>
            <w:rFonts w:ascii="Times New Roman" w:eastAsia="Times New Roman" w:hAnsi="Times New Roman" w:cs="Times New Roman"/>
            <w:sz w:val="24"/>
            <w:szCs w:val="24"/>
          </w:rPr>
          <w:t>статьей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Закона Санкт-Петербурга № 741-126 медицинский туриз</w:t>
      </w:r>
      <w:r>
        <w:rPr>
          <w:rFonts w:ascii="Times New Roman" w:eastAsia="Times New Roman" w:hAnsi="Times New Roman" w:cs="Times New Roman"/>
          <w:sz w:val="24"/>
          <w:szCs w:val="24"/>
        </w:rPr>
        <w:t>м является одним из приоритетных направлений развития туризма в Санкт-Петербурге. Законом Санкт-Петербурга № 741-126 определено, что под медицинским туризмом понимается туризм, основной целью которого является получение медицинских услуг, в том числе обсле</w:t>
      </w:r>
      <w:r>
        <w:rPr>
          <w:rFonts w:ascii="Times New Roman" w:eastAsia="Times New Roman" w:hAnsi="Times New Roman" w:cs="Times New Roman"/>
          <w:sz w:val="24"/>
          <w:szCs w:val="24"/>
        </w:rPr>
        <w:t>дование, лечение и оздоровление (санаторно-курортное лечение), на территории Санкт-Петербурга. Медицинский туризм также включает в себя оказание сопутствующих услуг, в том числе визовое и транспортное сопровождение, проживание и услуги переводчиков.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оце</w:t>
      </w:r>
      <w:r>
        <w:rPr>
          <w:rFonts w:ascii="Times New Roman" w:eastAsia="Times New Roman" w:hAnsi="Times New Roman" w:cs="Times New Roman"/>
          <w:sz w:val="24"/>
          <w:szCs w:val="24"/>
        </w:rPr>
        <w:t>нкам экспертов темпы роста сектора медицинского туризма считаются одними из наиболее высоких по сравнению с другими туристскими сегментами и оказывают все большее влияние на национальные системы здравоохранения и экономику в целом. Для стран, сформировавши</w:t>
      </w:r>
      <w:r>
        <w:rPr>
          <w:rFonts w:ascii="Times New Roman" w:eastAsia="Times New Roman" w:hAnsi="Times New Roman" w:cs="Times New Roman"/>
          <w:sz w:val="24"/>
          <w:szCs w:val="24"/>
        </w:rPr>
        <w:t>х устойчивый въездной медицинский туристский поток, медицинский туризм формирует заметный дополнительный приток финансирования, создание новых рабочих мест и технологий.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 является вторым в Российской Федерации внутренним центром медицинского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туризма преимущественно в части выполнения высокотехнологических вмешательств по направлениям кардиохирургии, онкологии, гинекологии (репродуктологии), стоматологии и травматологии. В настоящее время количество граждан Российской Федерации, зарегистрирова</w:t>
      </w:r>
      <w:r>
        <w:rPr>
          <w:rFonts w:ascii="Times New Roman" w:eastAsia="Times New Roman" w:hAnsi="Times New Roman" w:cs="Times New Roman"/>
          <w:sz w:val="24"/>
          <w:szCs w:val="24"/>
        </w:rPr>
        <w:t>нных на территориях иных субъектов Российской Федерации, получивших медицинскую помощь в медицинских учреждениях, расположенных на территории Санкт-Петербурга, значительно превышает количество иностранных граждан, получивших медицинскую помощь в медицински</w:t>
      </w:r>
      <w:r>
        <w:rPr>
          <w:rFonts w:ascii="Times New Roman" w:eastAsia="Times New Roman" w:hAnsi="Times New Roman" w:cs="Times New Roman"/>
          <w:sz w:val="24"/>
          <w:szCs w:val="24"/>
        </w:rPr>
        <w:t>х учреждениях, расположенных на территории Санкт-Петербурга.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Здравоохранение Санкт-Петербурга имеет широкие перспективы для развития медицинского туризма, обладая возможностью объединения потенциала городских, федеральных и частных медицинских организаций.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Высокий уровень профессиональной подготовки медицинского персонала и наличие конкурентоспособных медицинских организаций, обладающих современным диагностическим и лечебным оборудованием, сравнительно низкая стоимость медицинских услуг являются конкурентны</w:t>
      </w:r>
      <w:r>
        <w:rPr>
          <w:rFonts w:ascii="Times New Roman" w:eastAsia="Times New Roman" w:hAnsi="Times New Roman" w:cs="Times New Roman"/>
          <w:sz w:val="24"/>
          <w:szCs w:val="24"/>
        </w:rPr>
        <w:t>ми преимуществами Санкт-Петербурга, использование которых позволит достичь значительного развития данного направления, в том числе увеличения туристского потока пациентов из других субъектов Российской Федерации и иностранных граждан для получения медицинс</w:t>
      </w:r>
      <w:r>
        <w:rPr>
          <w:rFonts w:ascii="Times New Roman" w:eastAsia="Times New Roman" w:hAnsi="Times New Roman" w:cs="Times New Roman"/>
          <w:sz w:val="24"/>
          <w:szCs w:val="24"/>
        </w:rPr>
        <w:t>кой помощи в Санкт-Петербурге. Для зарубежных медицинских туристов приоритетными направлениями помощи являются стоматология, косметология и виды помощи, имеющие ограничения в зарубежных странах.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продвижения медицинского туризма среди регионов Росси</w:t>
      </w:r>
      <w:r>
        <w:rPr>
          <w:rFonts w:ascii="Times New Roman" w:eastAsia="Times New Roman" w:hAnsi="Times New Roman" w:cs="Times New Roman"/>
          <w:sz w:val="24"/>
          <w:szCs w:val="24"/>
        </w:rPr>
        <w:t>йской Федерации и за рубежом в 2018 году создано Агентство медицинского туризма со 100-процентным участием Санкт-Петербурга. КРТ совместно с КИО обеспечено привлечение бюджетных инвестиций в уставный капитал Агентства медицинского туризма в целях осуществл</w:t>
      </w:r>
      <w:r>
        <w:rPr>
          <w:rFonts w:ascii="Times New Roman" w:eastAsia="Times New Roman" w:hAnsi="Times New Roman" w:cs="Times New Roman"/>
          <w:sz w:val="24"/>
          <w:szCs w:val="24"/>
        </w:rPr>
        <w:t>ения уставной деятельности.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Функционирует портал медицинского туризма в Санкт-Петербург по адресу https://medtourism.agency/.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Агентством медицинского туризма привлечено к сотрудничеству более 30 частных и государственных медицинских и санаторно-курортных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рганизаций, постоянно расширяются партнерские связи с клиниками, отелями и туроператорами для предоставления клиентам максимально широкого выбора как вариантов прохождения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лечения, так и экскурсионных программ. Агентство медицинского туризма осуществляет п</w:t>
      </w:r>
      <w:r>
        <w:rPr>
          <w:rFonts w:ascii="Times New Roman" w:eastAsia="Times New Roman" w:hAnsi="Times New Roman" w:cs="Times New Roman"/>
          <w:sz w:val="24"/>
          <w:szCs w:val="24"/>
        </w:rPr>
        <w:t>одбор индивидуальной программы обследования или лечения, оказывает помощь в размещении, транспортном сопровождении, страховании, а также организует культурную программу в период пребывания в Санкт-Петербурге.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КРТ совместно с Агентством медицинского туризма в 2023 году организованы следующие региональные и международные мероприятия по медицинскому и оздоровительному туризму: Всероссийская онлайн-конференция «Санкт-Петербург – территория инноваций в сфере медицин</w:t>
      </w:r>
      <w:r>
        <w:rPr>
          <w:rFonts w:ascii="Times New Roman" w:eastAsia="Times New Roman" w:hAnsi="Times New Roman" w:cs="Times New Roman"/>
          <w:sz w:val="24"/>
          <w:szCs w:val="24"/>
        </w:rPr>
        <w:t>ского туризма. Стратегия развития направления», Петербургский экспертный форум по медицинскому и оздоровительному туризму, воркшоп с участием ведущих врачей Санкт-Петербурга Medical Hub, серия специализированных пресс-туров в Санкт-Петербург по медицинском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и оздоровительному туризму для российских СМИ, серия круглых столов по медицинскому и оздоровительному туризму, в Ташкенте выездные профильные мероприятия в Ташкенте и Азербайджане, г. Баку. </w:t>
      </w:r>
    </w:p>
    <w:p w:rsidR="0087504D" w:rsidRDefault="0087504D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10.2.5. Развитие туризма для людей с ограниченными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физическими возможностями</w:t>
      </w:r>
    </w:p>
    <w:p w:rsidR="0087504D" w:rsidRDefault="0087504D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Важнейшей социальной функцией туризма является повышение доступности туризма для тех групп населения, которые в настоящее время не имеют возможности совершать туристские поездки, в связи с чем актуальной является реализация мер п</w:t>
      </w:r>
      <w:r>
        <w:rPr>
          <w:rFonts w:ascii="Times New Roman" w:eastAsia="Times New Roman" w:hAnsi="Times New Roman" w:cs="Times New Roman"/>
          <w:sz w:val="24"/>
          <w:szCs w:val="24"/>
        </w:rPr>
        <w:t>о обеспечению равных возможностей получения туристских услуг для всех категорий граждан, в том числе по обеспечению доступности туристских объектов для всех категорий туристов, созданию и развитию инфраструктуры для туристов с ограниченными возможностями з</w:t>
      </w:r>
      <w:r>
        <w:rPr>
          <w:rFonts w:ascii="Times New Roman" w:eastAsia="Times New Roman" w:hAnsi="Times New Roman" w:cs="Times New Roman"/>
          <w:sz w:val="24"/>
          <w:szCs w:val="24"/>
        </w:rPr>
        <w:t>доровья, развитию безбарьерной среды, совершенствованию системы навигации и ориентирования в сфере туризма и информационных сервисов для инвалидов, граждан пожилого возраста и других маломобильных групп населения (люди с временным нарушением здоровья, бере</w:t>
      </w:r>
      <w:r>
        <w:rPr>
          <w:rFonts w:ascii="Times New Roman" w:eastAsia="Times New Roman" w:hAnsi="Times New Roman" w:cs="Times New Roman"/>
          <w:sz w:val="24"/>
          <w:szCs w:val="24"/>
        </w:rPr>
        <w:t>менные женщины, люди с детскими колясками и т.п.).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данного направления Правительством Санкт-Петербурга систематически проводятся встречи с представителями коллективных средств размещения в целях обсуждения вопросов создания в гостиницах безбарьерн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среды для маломобильных групп населения. 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туристско-информационные офисы и павильоны ГБУ «ГТИБ» оборудованы переговорными устройствами для вызова сотрудников, отдельные павильоны оборудованы съемными роллопандусами.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развития туризма для люде</w:t>
      </w:r>
      <w:r>
        <w:rPr>
          <w:rFonts w:ascii="Times New Roman" w:eastAsia="Times New Roman" w:hAnsi="Times New Roman" w:cs="Times New Roman"/>
          <w:sz w:val="24"/>
          <w:szCs w:val="24"/>
        </w:rPr>
        <w:t>й с ограниченными физическими возможностями сформировано 8 туристских маршрутов по Санкт-Петербургу, доступных для прохождения людей с ограниченными возможностями и иными маломобильными группами населения.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создания инклюзивных маршрутов обследованы муз</w:t>
      </w:r>
      <w:r>
        <w:rPr>
          <w:rFonts w:ascii="Times New Roman" w:eastAsia="Times New Roman" w:hAnsi="Times New Roman" w:cs="Times New Roman"/>
          <w:sz w:val="24"/>
          <w:szCs w:val="24"/>
        </w:rPr>
        <w:t>еи, достопримечательности, выставочные комплексы, объекты общественного питания, туалеты, сувенирные магазины на предмет их доступности для инвалидов. Также проведен анализ транспортной инфраструктуры вблизи объектов туризма: остановок общественного трансп</w:t>
      </w:r>
      <w:r>
        <w:rPr>
          <w:rFonts w:ascii="Times New Roman" w:eastAsia="Times New Roman" w:hAnsi="Times New Roman" w:cs="Times New Roman"/>
          <w:sz w:val="24"/>
          <w:szCs w:val="24"/>
        </w:rPr>
        <w:t>орта, маршрутов рейсового городского и рейсового коммерческого транспорта. Маршруты получили высокую оценку представителей городских общественных объединений инвалидов.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об инклюзивных маршрутах размещена на портале www.visit-petersburg.ru. Кроме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указанных маршрутов раздел «Доступная среда» портала www.visit-petersburg.ru содержит сведения о гостиницах и объектах общественного питания, предлагающих специальные условия для людей с ограниченными возможностями.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 году разработана серия видеоинст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рукций с рекомендациями для туроператоров по приему туристов с ограниченными возможностями здоровья.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Видеоинструкции содержат анализ текущих возможностей экскурсионного обслуживания в Санкт-Петербурге туристов на колясках, незрячих и слабовидящих туристов,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экскурсантов с проблемами слуха, актуальную информацию о доступности музейных объектов Санкт-Петербурга для туристов с особенностями здоровья, особенностям экскурсионного обслуживания туристов с разными нозологиями.</w:t>
      </w:r>
    </w:p>
    <w:p w:rsidR="0087504D" w:rsidRDefault="0087504D">
      <w:pPr>
        <w:widowControl w:val="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10.2.6. Повышение качества тур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истских услуг</w:t>
      </w:r>
    </w:p>
    <w:p w:rsidR="0087504D" w:rsidRDefault="0087504D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создания системы контроля качества туристских услуг на территории Санкт-Петербурга, направленной на повышение уровня качества оказываемых туристских услуг туриндустрией Санкт-Петербурга и поддержание имиджа Санкт-Петербурга как удобн</w:t>
      </w:r>
      <w:r>
        <w:rPr>
          <w:rFonts w:ascii="Times New Roman" w:eastAsia="Times New Roman" w:hAnsi="Times New Roman" w:cs="Times New Roman"/>
          <w:sz w:val="24"/>
          <w:szCs w:val="24"/>
        </w:rPr>
        <w:t>ой и комфортной дестинации, с 2018 года реализуется проект «Контроль качества туристских услуг», в рамках которого осуществляются мероприятия по созданию критериев качества и его мониторингу в сфере предоставления гостиничных услуг, услуг гидов-переводчико</w:t>
      </w:r>
      <w:r>
        <w:rPr>
          <w:rFonts w:ascii="Times New Roman" w:eastAsia="Times New Roman" w:hAnsi="Times New Roman" w:cs="Times New Roman"/>
          <w:sz w:val="24"/>
          <w:szCs w:val="24"/>
        </w:rPr>
        <w:t>в и экскурсоводов, туроператоров, предприятий общественного питания, транспортных услуг.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реализации указанного проекта проработан механизм отбора по присуждению награды Правительства Санкт-Петербурга – почетного диплома «Марка качества «Visit Pete</w:t>
      </w:r>
      <w:r>
        <w:rPr>
          <w:rFonts w:ascii="Times New Roman" w:eastAsia="Times New Roman" w:hAnsi="Times New Roman" w:cs="Times New Roman"/>
          <w:sz w:val="24"/>
          <w:szCs w:val="24"/>
        </w:rPr>
        <w:t>rsburg».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с 2008 года в Санкт-Петербурге действовала единая городская система подготовки и аккредитации экскурсоводов и гидов-переводчиков, основными задачами которой являлись упорядочение деятельности экскурсоводов и гидов-переводчиков и опреде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ление единой методики информационно-экскурсионной работы в целях повышения качества приема и обслуживания туристов. </w:t>
      </w:r>
    </w:p>
    <w:p w:rsidR="0087504D" w:rsidRDefault="0068592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Государственная услуга по проведению аттестации экскурсоводов и гидов-переводчиков в Санкт-Петербурге осуществляется КРТ в соответствии с Ф</w:t>
      </w:r>
      <w:r>
        <w:rPr>
          <w:rFonts w:ascii="Times New Roman" w:eastAsia="Times New Roman" w:hAnsi="Times New Roman" w:cs="Times New Roman"/>
          <w:sz w:val="24"/>
          <w:szCs w:val="24"/>
        </w:rPr>
        <w:t>едеральным законом от 20.04.2021 № 93-ФЗ «О внесении изменений в Федеральный закон «Об основах туристской деятельности в Российской Федерации» в части правового регулирования деятельности экскурсоводов (гидов), гидов-переводчиков и инструкторов-проводников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7504D" w:rsidRDefault="0087504D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10.2.7. Развитие детского культурно-познавательного и патриотического туризма</w:t>
      </w:r>
    </w:p>
    <w:p w:rsidR="0087504D" w:rsidRDefault="0087504D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основной задачей государства и общества является развитие и формирование творческих способностей, интеллектуально-нравственное совершенствование и патриот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ическое воспитание подрастающего поколения. 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Стратегии развития воспитания в Российской Федерации на период до 2025 года, утвержденной распоряжением Правительства России от 29.05.2015 № 996-р, особое внимание уделяется обновлению содержания и техн</w:t>
      </w:r>
      <w:r>
        <w:rPr>
          <w:rFonts w:ascii="Times New Roman" w:eastAsia="Times New Roman" w:hAnsi="Times New Roman" w:cs="Times New Roman"/>
          <w:sz w:val="24"/>
          <w:szCs w:val="24"/>
        </w:rPr>
        <w:t>ологий дополнительного образования детей в рамках туристско-краеведческой направленности в целях реализации патриотического воспитания молодежи.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Юношеская аудитория является наиболее перспективной с точки зрения развития туризма в целом. Сформировавшаяся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детстве привычка путешествовать, постоянно узнавать новое и интересное не только расширяет кругозор и является дополнительным источником знаний, но в зрелом возрасте становится потребностью и ведет к формированию устойчивого спроса в сфере внутреннего тур</w:t>
      </w:r>
      <w:r>
        <w:rPr>
          <w:rFonts w:ascii="Times New Roman" w:eastAsia="Times New Roman" w:hAnsi="Times New Roman" w:cs="Times New Roman"/>
          <w:sz w:val="24"/>
          <w:szCs w:val="24"/>
        </w:rPr>
        <w:t>изма.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пункта 3 перечня поручений Президента Российской Федерации от 24.09.2021 № Пр-1806 по итогам встречи со школьниками во Всероссийском детском центре «Океан», состоявшейся 01.09.2021, КРТ с 2022 года реализует проект «Юный путешественник </w:t>
      </w:r>
      <w:r>
        <w:rPr>
          <w:rFonts w:ascii="Times New Roman" w:eastAsia="Times New Roman" w:hAnsi="Times New Roman" w:cs="Times New Roman"/>
          <w:sz w:val="24"/>
          <w:szCs w:val="24"/>
        </w:rPr>
        <w:t>Санкт-Петербурга» (далее – Проект).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Проекта в 2023 году реализовывалась серия экскурсионных поездок для школьников Санкт-Петербурга по десяти тематическим маршрутам: «Транспортные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артерии города», «Театрально-музыкальный Петербург», «Народное иску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сство и культурное наследие», «По следам Петра», «Город-герой Ленинград», «Санкт-Петербург – морская столица», «Город множества конфессий», «Дворцы и парки Петергофа», «Экологический Петербург / Путешествие в науку», «Декоративно-прикладное искусство».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должительность каждого мини-путешествия составляет 8 часов. Все группы участников проекта обеспечиваются горячим питанием.</w:t>
      </w:r>
    </w:p>
    <w:p w:rsidR="0087504D" w:rsidRDefault="00685926">
      <w:pPr>
        <w:widowControl w:val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87504D">
          <w:pgSz w:w="11907" w:h="16839" w:code="9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2023 году в рамках Проекта участниками экскурсионных поездок стали 40 840 человек. </w:t>
      </w:r>
    </w:p>
    <w:p w:rsidR="0087504D" w:rsidRDefault="0087504D">
      <w:pPr>
        <w:widowControl w:val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504D" w:rsidRDefault="0087504D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020"/>
        <w:gridCol w:w="1920"/>
        <w:gridCol w:w="1805"/>
        <w:gridCol w:w="1018"/>
        <w:gridCol w:w="1017"/>
        <w:gridCol w:w="1017"/>
        <w:gridCol w:w="1018"/>
        <w:gridCol w:w="1017"/>
        <w:gridCol w:w="1003"/>
        <w:gridCol w:w="1361"/>
        <w:gridCol w:w="2035"/>
        <w:gridCol w:w="57"/>
      </w:tblGrid>
      <w:tr w:rsidR="0087504D">
        <w:trPr>
          <w:trHeight w:val="1017"/>
        </w:trPr>
        <w:tc>
          <w:tcPr>
            <w:tcW w:w="15575" w:type="dxa"/>
            <w:gridSpan w:val="12"/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10.3. ПЕРЕЧЕНЬ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мероприятий подпрограммы  2</w:t>
            </w:r>
          </w:p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444"/>
        </w:trPr>
        <w:tc>
          <w:tcPr>
            <w:tcW w:w="15575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ПРОЦЕССНАЯ ЧАСТЬ</w:t>
            </w:r>
          </w:p>
          <w:p w:rsidR="0087504D" w:rsidRDefault="0087504D"/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574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№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п/п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Наименование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Исполнитель,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участник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Источник финансирования</w:t>
            </w: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Срок реализации и объем финансирования по годам, тыс. руб.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ИТОГО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 xml:space="preserve">Наименование целевого показателя, индикатора, на достижение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которых оказывает влияние реализация мероприятия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117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2024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2025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2026 г.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2027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2028 г.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2029 г.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22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3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Реализация комплекса мероприятий по развитию событийного туризма в Санкт-Петербурге, в том числе организация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проведение событийных мероприятий, направленных на привлечение в Санкт-Петербург туристов; продвижение указанных мероприятий; формирование Единого календаря событий Санкт-Петербурга и издание раздела "ТОП-25" Единого календаря событий Санкт-Петербурга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525 555,6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495 555,6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495 555,6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515 377,8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535 992,9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557 432,6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3 125 470,1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1, ЦП 2, Индикатор 2.1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16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Предоставление субсидии ГБУ «КВБ» на финансовое обеспечение выполнения государственного задания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868 056,6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362 535,7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377 036,6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392 118,0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407 802,7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424 114,8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2 831 664,4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1, ЦП 2, Индикатор 2.2, Индикатор 2.3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Предоставление субсидий на конкурсной основе социально ориентированным некоммерческим организациям на организацию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проведение в Санкт-Петербурге конгрессно-выставочных мероприятий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50 000,0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50 000,0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50 000,0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52 000,0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54 000,0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56 000,0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312 000,0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1, ЦП 2, Индикатор 2.2, Индикатор 2.3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Координация взаимодействия ИОГВ  при планировании  и проведении  в Санкт-Петербурге конгрессно-выставочных мероприятий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1, ЦП 2, Индикатор 2.2, Индикатор 2.3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8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Реализация мероприятий по развитию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туризма для людей с ограниченными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физическими возможностями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КРТ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350,8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365,4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380,0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395,2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427,4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2 329,8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1, ЦП 2, Индикатор 2.4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Информационное сопровождение развития медицинского туризма и экспорта медицинских услуг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Санкт-Петербурге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КРТ, КЗ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2, ЦП 6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Присуждение награды Правительства Санкт-Петербурга – почетного диплома «Марка качества «Visit Petersburg»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2, ЦП 6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Проведение аттестации экскурсоводов (гидов)  и гидов-переводчиков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2, ЦП 6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Предоставление субсидии социально ориентированным некоммерческим организациям на организацию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туристско-экскурсионных поездок и путешествий для школьников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100 000,0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100 000,0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1, ЦП 6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6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 процессная часть подпрограммы 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1 543 963,0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908 456,7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922 972,2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959 891,0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998 206,6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1 037 974,8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6 371 464,3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</w:tbl>
    <w:p w:rsidR="0087504D" w:rsidRDefault="0087504D">
      <w:pPr>
        <w:sectPr w:rsidR="0087504D">
          <w:pgSz w:w="16839" w:h="11907" w:orient="landscape" w:code="9"/>
          <w:pgMar w:top="567" w:right="567" w:bottom="517" w:left="567" w:header="567" w:footer="517" w:gutter="0"/>
          <w:cols w:space="720"/>
        </w:sectPr>
      </w:pPr>
    </w:p>
    <w:p w:rsidR="0087504D" w:rsidRDefault="0087504D"/>
    <w:p w:rsidR="0087504D" w:rsidRDefault="0087504D"/>
    <w:p w:rsidR="0087504D" w:rsidRDefault="00685926">
      <w:pPr>
        <w:widowControl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10.4. Механизмы реализации подпрограммы 2</w:t>
      </w:r>
    </w:p>
    <w:p w:rsidR="0087504D" w:rsidRDefault="0087504D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Реализация мероприятий, предусмотренных в </w:t>
      </w:r>
      <w:hyperlink w:anchor="П1пп2">
        <w:r>
          <w:rPr>
            <w:rFonts w:ascii="Times New Roman" w:eastAsia="Times New Roman" w:hAnsi="Times New Roman" w:cs="Times New Roman"/>
            <w:sz w:val="24"/>
            <w:szCs w:val="24"/>
          </w:rPr>
          <w:t>пункте 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 перечня мероприятий подпрограммы 2, предусматривает организацию, проведение и продвижение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событийных мероприятий, осуществляемых КРТ, а также формирование Единого календаря событий Санкт-Петербурга и издание раздела «ТОП-25» Единого календаря событий Санкт-Петербурга, в соответствии с Федеральным </w:t>
      </w:r>
      <w:hyperlink r:id="rId32">
        <w:r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 муниципальных нужд» (далее – Федер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альный закон № 44-ФЗ). Формирование Единого календаря событий Санкт-Петербурга осуществляется КРТ в соответствии с </w:t>
      </w:r>
      <w:hyperlink r:id="rId33">
        <w:r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от 13.03.2018 № 172 «О Порядке формирования Единого календаря событий Санкт-Петербурга».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государственной программы под событийными мероприятиями понимаются мероприятия, направленные на продвижение и</w:t>
      </w:r>
      <w:r>
        <w:rPr>
          <w:rFonts w:ascii="Times New Roman" w:eastAsia="Times New Roman" w:hAnsi="Times New Roman" w:cs="Times New Roman"/>
          <w:sz w:val="24"/>
          <w:szCs w:val="24"/>
        </w:rPr>
        <w:t>миджа Санкт-Петербурга как крупнейшего мирового туристского, культурного, образовательного и делового центра. В</w:t>
      </w:r>
      <w:r>
        <w:rPr>
          <w:rFonts w:eastAsiaTheme="minorHAnsi" w:cs="Arial"/>
          <w:sz w:val="22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событийных мероприятий могут выступать национальные и городские фестивали, в том числе гастрономические, цветочные, музыкальные, </w:t>
      </w:r>
      <w:r>
        <w:rPr>
          <w:rFonts w:ascii="Times New Roman" w:eastAsia="Times New Roman" w:hAnsi="Times New Roman" w:cs="Times New Roman"/>
          <w:sz w:val="24"/>
          <w:szCs w:val="24"/>
        </w:rPr>
        <w:t>театральные, кинофестивали, и праздники; театрализованные шоу; модные показы; аукционы; спортивные мероприятия (соревнования); мероприятия в сфере образования; международные технические салоны; деловые форумы; выставки и иные мероприятия, специально органи</w:t>
      </w:r>
      <w:r>
        <w:rPr>
          <w:rFonts w:ascii="Times New Roman" w:eastAsia="Times New Roman" w:hAnsi="Times New Roman" w:cs="Times New Roman"/>
          <w:sz w:val="24"/>
          <w:szCs w:val="24"/>
        </w:rPr>
        <w:t>зованные в целях привлечения в Санкт-Петербург туристов.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Реализация мероприятия, предусмотренного в пункте 2 процессной части перечня мероприятий подпрограммы 2, осуществляется КРТ путем предоставления субсидий на финансовое обеспечение выполнения госуд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арственного задания ГБУ «КВБ» в соответствии с </w:t>
      </w:r>
      <w:hyperlink r:id="rId34">
        <w:r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от 20.01.2011 № 63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 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заданий» и </w:t>
      </w:r>
      <w:hyperlink r:id="rId35">
        <w:r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от 29.12.2016 № 1271 «О порядке предоставления субсидий из бюджета Санкт-Петербурга государственным бюджетным и автономным учреждениям Санкт-Петербурга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финансовое обеспечение выполнения ими государственного задания на оказание государственных услуг (выполнение работ)».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Реализация мероприятия, предусмотренного в </w:t>
      </w:r>
      <w:hyperlink w:anchor="P2686">
        <w:r>
          <w:rPr>
            <w:rFonts w:ascii="Times New Roman" w:eastAsia="Times New Roman" w:hAnsi="Times New Roman" w:cs="Times New Roman"/>
            <w:sz w:val="24"/>
            <w:szCs w:val="24"/>
          </w:rPr>
          <w:t>пункте 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 перечня мероприятий подпрограммы 2, о</w:t>
      </w:r>
      <w:r>
        <w:rPr>
          <w:rFonts w:ascii="Times New Roman" w:eastAsia="Times New Roman" w:hAnsi="Times New Roman" w:cs="Times New Roman"/>
          <w:sz w:val="24"/>
          <w:szCs w:val="24"/>
        </w:rPr>
        <w:t>существляется за счет бюджетных ассигнований бюджета Санкт-Петербурга на соответствующий финансовый год, предусмотренных КРТ в соответствии с ежегодно утверждаемым Правительством Санкт-Петербурга порядком предоставления субсидий социально ориентированным н</w:t>
      </w:r>
      <w:r>
        <w:rPr>
          <w:rFonts w:ascii="Times New Roman" w:eastAsia="Times New Roman" w:hAnsi="Times New Roman" w:cs="Times New Roman"/>
          <w:sz w:val="24"/>
          <w:szCs w:val="24"/>
        </w:rPr>
        <w:t>екоммерческим организациям на</w:t>
      </w:r>
      <w:r>
        <w:rPr>
          <w:rFonts w:eastAsiaTheme="minorHAnsi" w:cs="Arial"/>
          <w:sz w:val="22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в Санкт-Петербурге конгрессно-выставочных мероприятий.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 Реализация мероприятия, предусмотренного в </w:t>
      </w:r>
      <w:hyperlink w:anchor="P2686">
        <w:r>
          <w:rPr>
            <w:rFonts w:ascii="Times New Roman" w:eastAsia="Times New Roman" w:hAnsi="Times New Roman" w:cs="Times New Roman"/>
            <w:sz w:val="24"/>
            <w:szCs w:val="24"/>
          </w:rPr>
          <w:t>пункте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4 процессной части перечня мероприятий подпрограммы 2, осуществля</w:t>
      </w:r>
      <w:r>
        <w:rPr>
          <w:rFonts w:ascii="Times New Roman" w:eastAsia="Times New Roman" w:hAnsi="Times New Roman" w:cs="Times New Roman"/>
          <w:sz w:val="24"/>
          <w:szCs w:val="24"/>
        </w:rPr>
        <w:t>ется КРТ в пределах своих полномочий и</w:t>
      </w:r>
      <w:r>
        <w:rPr>
          <w:rFonts w:eastAsiaTheme="minorHAnsi" w:cs="Arial"/>
          <w:sz w:val="22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текущего финансирования деятельности.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Реализация мероприятия, предусмотренного в </w:t>
      </w:r>
      <w:hyperlink w:anchor="п3пп2">
        <w:r>
          <w:rPr>
            <w:rFonts w:ascii="Times New Roman" w:eastAsia="Times New Roman" w:hAnsi="Times New Roman" w:cs="Times New Roman"/>
            <w:sz w:val="24"/>
            <w:szCs w:val="24"/>
          </w:rPr>
          <w:t>пункте 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 перечня мероприятий подпрограммы 2, осуществляется за счет бюджетных ассигнований бюджета Санкт-Петербурга на соответствующий финансовый год, предусмотренных КРТ, в</w:t>
      </w:r>
      <w:r>
        <w:rPr>
          <w:rFonts w:eastAsiaTheme="minorHAnsi" w:cs="Arial"/>
          <w:sz w:val="22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36">
        <w:r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№ 44-ФЗ 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Реализация мероприятия, предусмотренного в </w:t>
      </w:r>
      <w:hyperlink w:anchor="п51пп2">
        <w:r>
          <w:rPr>
            <w:rFonts w:ascii="Times New Roman" w:eastAsia="Times New Roman" w:hAnsi="Times New Roman" w:cs="Times New Roman"/>
            <w:sz w:val="24"/>
            <w:szCs w:val="24"/>
          </w:rPr>
          <w:t>пункте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 перечня мероприятий подпрограммы 2, осущ</w:t>
      </w:r>
      <w:r>
        <w:rPr>
          <w:rFonts w:ascii="Times New Roman" w:eastAsia="Times New Roman" w:hAnsi="Times New Roman" w:cs="Times New Roman"/>
          <w:sz w:val="24"/>
          <w:szCs w:val="24"/>
        </w:rPr>
        <w:t>ествляется КРТ и КЗ в пределах своих полномочий за</w:t>
      </w:r>
      <w:r>
        <w:rPr>
          <w:rFonts w:eastAsiaTheme="minorHAnsi" w:cs="Arial"/>
          <w:sz w:val="22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счет привлеченных средств.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Реализация мероприятия, предусмотренного в </w:t>
      </w:r>
      <w:hyperlink w:anchor="п6пп2">
        <w:r>
          <w:rPr>
            <w:rFonts w:ascii="Times New Roman" w:eastAsia="Times New Roman" w:hAnsi="Times New Roman" w:cs="Times New Roman"/>
            <w:sz w:val="24"/>
            <w:szCs w:val="24"/>
          </w:rPr>
          <w:t>пункте 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 перечня мероприятий подпрограммы 2, осуществляется КРТ в соответствии с </w:t>
      </w:r>
      <w:hyperlink r:id="rId37">
        <w:r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от 27.01.2020 № 17 «Об учреждении награды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Правительства Санкт-Петербурга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почетного диплома «Марка качества «Visit Petersburg» в пределах своих полномочий и текущего финансирования деятельности.</w:t>
      </w:r>
    </w:p>
    <w:p w:rsidR="0087504D" w:rsidRDefault="00685926">
      <w:pPr>
        <w:widowControl w:val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Реализация мероприятия, предусмотренного в </w:t>
      </w:r>
      <w:hyperlink w:anchor="п7пп2">
        <w:r>
          <w:rPr>
            <w:rFonts w:ascii="Times New Roman" w:eastAsia="Times New Roman" w:hAnsi="Times New Roman" w:cs="Times New Roman"/>
            <w:sz w:val="24"/>
            <w:szCs w:val="24"/>
          </w:rPr>
          <w:t>пункте 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 перечня мероприятий подпрограммы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2,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КРТ </w:t>
      </w:r>
      <w:r w:rsidR="00CF5957">
        <w:rPr>
          <w:rFonts w:ascii="Times New Roman" w:eastAsia="Times New Roman" w:hAnsi="Times New Roman" w:cs="Times New Roman"/>
          <w:sz w:val="24"/>
          <w:szCs w:val="24"/>
        </w:rPr>
        <w:t xml:space="preserve">в пределах своих полномочий </w:t>
      </w:r>
      <w:r w:rsidR="00CF595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_GoBack"/>
      <w:bookmarkEnd w:id="1"/>
      <w:r w:rsidR="00CF5957">
        <w:rPr>
          <w:rFonts w:ascii="Times New Roman" w:eastAsia="Times New Roman" w:hAnsi="Times New Roman" w:cs="Times New Roman"/>
          <w:sz w:val="24"/>
          <w:szCs w:val="24"/>
        </w:rPr>
        <w:t>и текущего финансирования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504D" w:rsidRDefault="00685926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7504D">
          <w:pgSz w:w="11907" w:h="16839" w:code="9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Реализация мероприятия, предусмотренного в </w:t>
      </w:r>
      <w:hyperlink w:anchor="P2940">
        <w:r>
          <w:rPr>
            <w:rFonts w:ascii="Times New Roman" w:eastAsia="Times New Roman" w:hAnsi="Times New Roman" w:cs="Times New Roman"/>
            <w:sz w:val="24"/>
            <w:szCs w:val="24"/>
          </w:rPr>
          <w:t>пункте 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 пер</w:t>
      </w:r>
      <w:r>
        <w:rPr>
          <w:rFonts w:ascii="Times New Roman" w:eastAsia="Times New Roman" w:hAnsi="Times New Roman" w:cs="Times New Roman"/>
          <w:sz w:val="24"/>
          <w:szCs w:val="24"/>
        </w:rPr>
        <w:t>ечня мероприятий подпрограммы 2, осуществляется за счет бюджетных ассигнований бюджета Санкт-Петербурга на соответствующий финансовый год, предусмотренных КРТ в соответствии с ежегодно утверждаемым Правительством Санкт-Петербурга порядком предоставления су</w:t>
      </w:r>
      <w:r>
        <w:rPr>
          <w:rFonts w:ascii="Times New Roman" w:eastAsia="Times New Roman" w:hAnsi="Times New Roman" w:cs="Times New Roman"/>
          <w:sz w:val="24"/>
          <w:szCs w:val="24"/>
        </w:rPr>
        <w:t>бсидий социально ориентированным некоммерческим организациям на</w:t>
      </w:r>
      <w:r>
        <w:rPr>
          <w:rFonts w:eastAsiaTheme="minorHAnsi" w:cs="Arial"/>
          <w:sz w:val="22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путешествий и туристско-экскурсионных поездок для школьников. </w:t>
      </w:r>
    </w:p>
    <w:p w:rsidR="0087504D" w:rsidRDefault="0087504D">
      <w:pPr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87504D"/>
    <w:p w:rsidR="0087504D" w:rsidRDefault="00685926">
      <w:pPr>
        <w:pStyle w:val="a3"/>
        <w:spacing w:after="0" w:line="240" w:lineRule="auto"/>
        <w:ind w:left="0"/>
        <w:contextualSpacing w:val="0"/>
        <w:jc w:val="center"/>
        <w:rPr>
          <w:b/>
        </w:rPr>
      </w:pPr>
      <w:r>
        <w:rPr>
          <w:rFonts w:ascii="Times New Roman" w:hAnsi="Times New Roman"/>
          <w:b/>
          <w:sz w:val="24"/>
        </w:rPr>
        <w:t>11. Подпрограмма 3</w:t>
      </w:r>
    </w:p>
    <w:p w:rsidR="0087504D" w:rsidRDefault="00685926">
      <w:pPr>
        <w:pStyle w:val="a3"/>
        <w:spacing w:after="0" w:line="240" w:lineRule="auto"/>
        <w:ind w:left="0"/>
        <w:contextualSpacing w:val="0"/>
        <w:jc w:val="center"/>
      </w:pPr>
      <w:r>
        <w:rPr>
          <w:rFonts w:ascii="Times New Roman" w:hAnsi="Times New Roman"/>
          <w:b/>
          <w:sz w:val="24"/>
        </w:rPr>
        <w:t>11.1. Паспорт подпрограммы 3</w:t>
      </w:r>
    </w:p>
    <w:tbl>
      <w:tblPr>
        <w:tblStyle w:val="TableGrid3"/>
        <w:tblW w:w="9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0"/>
        <w:gridCol w:w="2835"/>
        <w:gridCol w:w="6660"/>
      </w:tblGrid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87504D" w:rsidRDefault="00685926">
            <w:pPr>
              <w:spacing w:line="262" w:lineRule="atLeast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Исполнители подпрограммы 3</w:t>
            </w:r>
          </w:p>
        </w:tc>
        <w:tc>
          <w:tcPr>
            <w:tcW w:w="6660" w:type="dxa"/>
          </w:tcPr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КВЗПБ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КРТ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КРТИ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</w:t>
            </w: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Участник(и) государственной программы (в части реализации подпрограммы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660" w:type="dxa"/>
          </w:tcPr>
          <w:p w:rsidR="0087504D" w:rsidRDefault="0087504D">
            <w:pPr>
              <w:rPr>
                <w:rFonts w:eastAsia="Times New Roman" w:cs="Times New Roman"/>
              </w:rPr>
            </w:pP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87504D" w:rsidRDefault="00685926">
            <w:pPr>
              <w:spacing w:line="262" w:lineRule="atLeast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подпрограммы 3</w:t>
            </w:r>
          </w:p>
        </w:tc>
        <w:tc>
          <w:tcPr>
            <w:tcW w:w="666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Эффективная интеграция метабренда Санкт-Петербурга в экономическое и социокультурное пространство Российской Федерации и за рубежом</w:t>
            </w: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87504D" w:rsidRDefault="00685926">
            <w:pPr>
              <w:rPr>
                <w:rFonts w:eastAsia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660" w:type="dxa"/>
          </w:tcPr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еализация комплекса мер по продвижению туристского потенциала Санкт-Петербурга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информационной и коммуникационной систем в сфере туризма Санкт-Петербурга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комплекса мер по созданию и распространению сувенирной продукции Санкт-Петербурга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туристско-привлекательной, безопасной и комфортной городской среды Санкт-Петербурга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Содействие развитию кадрового потенциала туристической отрасли</w:t>
            </w: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Региональные проекты, реализуемые в рамках подпрограммы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660" w:type="dxa"/>
          </w:tcPr>
          <w:p w:rsidR="0087504D" w:rsidRDefault="0087504D">
            <w:pPr>
              <w:rPr>
                <w:rFonts w:eastAsia="Times New Roman" w:cs="Times New Roman"/>
              </w:rPr>
            </w:pP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Общий объем финансирования подпрограммы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источникам финансирования с указанием объема финансирования, предусмотренного на реализацию региональных проектов, в том числе по годам реализации</w:t>
            </w:r>
          </w:p>
        </w:tc>
        <w:tc>
          <w:tcPr>
            <w:tcW w:w="666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Общий объем финансирования подпрограммы составляет 6443167,1 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руб., в том числе: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счет средств бюджета Санкт-Петербурга – 6443167,1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г. – 976894,5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 1009701,3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 г. – 1049485,9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1091465,2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2028 г. – 1135115,8 тыс.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1180504,4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счет средств федерального бюджета – 0,0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2028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0,0 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счет внебюджетных средств – 0,0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2028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0,0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Общий объем финансирования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егиональных проектов составляет 0,0 тыс. руб., в том числе: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счет средств бюджета Санкт-Петербурга – 0,0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2028 г. – 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0,0 тыс.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счет средств федерального бюджета – 0,0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2028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0,0 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руб.;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счет внебюджетных средств – 0,0 тыс. руб., в том числе по годам: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2026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2027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2028 г. – 0,0 тыс. руб.;</w:t>
            </w:r>
          </w:p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2029 г. – 0,0 тыс. руб.;</w:t>
            </w:r>
          </w:p>
        </w:tc>
      </w:tr>
      <w:tr w:rsidR="0087504D">
        <w:tc>
          <w:tcPr>
            <w:tcW w:w="420" w:type="dxa"/>
          </w:tcPr>
          <w:p w:rsidR="0087504D" w:rsidRDefault="00685926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87504D" w:rsidRDefault="00685926">
            <w:pPr>
              <w:rPr>
                <w:rFonts w:eastAsia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Ожидаемые результаты реализации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660" w:type="dxa"/>
          </w:tcPr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узнаваемости и привлекательности метабренда Санкт-Петербурга на основе территориальных конкурентных преимуществ;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стимулирование потребления туристских услуг, в том числе через развитие информационной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коммуникационной систем в сфере туризма Санкт-Петербурга;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дополнительного образования и повышения квалификации в сфере туризма с учетом мировых трендов и международного опыта;</w:t>
            </w:r>
          </w:p>
          <w:p w:rsidR="0087504D" w:rsidRDefault="006859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 туристов устойчивого эмоционально положительного отн</w:t>
            </w:r>
            <w:r>
              <w:rPr>
                <w:rFonts w:ascii="Times New Roman" w:eastAsia="Times New Roman" w:hAnsi="Times New Roman" w:cs="Times New Roman"/>
                <w:sz w:val="24"/>
              </w:rPr>
              <w:t>ошения к Санкт-Петербургу</w:t>
            </w:r>
          </w:p>
          <w:p w:rsidR="0087504D" w:rsidRDefault="0087504D">
            <w:pPr>
              <w:rPr>
                <w:rFonts w:eastAsia="Times New Roman" w:cs="Times New Roman"/>
              </w:rPr>
            </w:pPr>
          </w:p>
          <w:p w:rsidR="0087504D" w:rsidRDefault="0087504D">
            <w:pPr>
              <w:rPr>
                <w:rFonts w:eastAsia="Times New Roman" w:cs="Times New Roman"/>
              </w:rPr>
            </w:pPr>
          </w:p>
        </w:tc>
      </w:tr>
    </w:tbl>
    <w:p w:rsidR="0087504D" w:rsidRDefault="0087504D">
      <w:pPr>
        <w:rPr>
          <w:rFonts w:eastAsia="Times New Roman" w:cs="Times New Roman"/>
        </w:rPr>
        <w:sectPr w:rsidR="0087504D">
          <w:pgSz w:w="11907" w:h="16839" w:code="9"/>
          <w:pgMar w:top="1133" w:right="850" w:bottom="1133" w:left="1700" w:header="708" w:footer="708" w:gutter="0"/>
          <w:cols w:space="720"/>
        </w:sectPr>
      </w:pPr>
    </w:p>
    <w:p w:rsidR="0087504D" w:rsidRDefault="0087504D">
      <w:pPr>
        <w:rPr>
          <w:rFonts w:eastAsia="Times New Roman" w:cs="Times New Roman"/>
        </w:rPr>
      </w:pPr>
    </w:p>
    <w:p w:rsidR="0087504D" w:rsidRDefault="0087504D">
      <w:pPr>
        <w:rPr>
          <w:rFonts w:eastAsia="Times New Roman" w:cs="Times New Roman"/>
        </w:rPr>
      </w:pPr>
    </w:p>
    <w:p w:rsidR="0087504D" w:rsidRDefault="00685926">
      <w:pPr>
        <w:widowControl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11.2. Характеристика текущего состояния формирования </w:t>
      </w:r>
    </w:p>
    <w:p w:rsidR="0087504D" w:rsidRDefault="00685926">
      <w:pPr>
        <w:widowControl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продвижения метабренда Санкт-Петербурга в Российской Федерации </w:t>
      </w:r>
    </w:p>
    <w:p w:rsidR="0087504D" w:rsidRDefault="00685926">
      <w:pPr>
        <w:widowControl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за рубежом с указанием основных проблем и прогноз его развития</w:t>
      </w:r>
    </w:p>
    <w:p w:rsidR="0087504D" w:rsidRDefault="0087504D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развития меж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регионального и международного сотрудничества в области туризма КРТ регулярно принимает участие в культурно-деловых миссиях Санкт-Петербурга в регионы Российской Федерации и зарубежные государства, в ходе которых проводятся туристско-информационные и марке</w:t>
      </w:r>
      <w:r>
        <w:rPr>
          <w:rFonts w:ascii="Times New Roman" w:eastAsia="Times New Roman" w:hAnsi="Times New Roman" w:cs="Times New Roman"/>
          <w:sz w:val="24"/>
          <w:szCs w:val="24"/>
        </w:rPr>
        <w:t>тинговые мероприятия Санкт-Петербурга, а также ответно принимает в Санкт-Петербурге делегации профильных ведомств из российских регионов и зарубежных стран.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 традиционно представлен на международных и региональных туристских выставках. КРТ е</w:t>
      </w:r>
      <w:r>
        <w:rPr>
          <w:rFonts w:ascii="Times New Roman" w:eastAsia="Times New Roman" w:hAnsi="Times New Roman" w:cs="Times New Roman"/>
          <w:sz w:val="24"/>
          <w:szCs w:val="24"/>
        </w:rPr>
        <w:t>жегодно организует информационно-ознакомительные визиты в Санкт-Петербург для иностранных и российских журналистов, а также мероприятия по активному продвижению Санкт-Петербурга как туристской дестинации на российском и международном туристских рынках в фо</w:t>
      </w:r>
      <w:r>
        <w:rPr>
          <w:rFonts w:ascii="Times New Roman" w:eastAsia="Times New Roman" w:hAnsi="Times New Roman" w:cs="Times New Roman"/>
          <w:sz w:val="24"/>
          <w:szCs w:val="24"/>
        </w:rPr>
        <w:t>рмате роуд-шоу. Активное продвижение Санкт-Петербурга на региональных рынках осуществляется также в рамках реализации межрегиональных туристских проектов.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 с учетом уровня развития информационного общества, цифровых каналов связи и </w:t>
      </w:r>
      <w:r>
        <w:rPr>
          <w:rFonts w:ascii="Times New Roman" w:eastAsia="Times New Roman" w:hAnsi="Times New Roman" w:cs="Times New Roman"/>
          <w:sz w:val="24"/>
          <w:szCs w:val="24"/>
        </w:rPr>
        <w:t>коммуникации требуется внедрение и использование новых методов маркетинговых стратегий.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современным понятиям подход к маркетингу и позиционированию территории включает в себя не только разработку графического выражения бренда (логотипа и визуально</w:t>
      </w:r>
      <w:r>
        <w:rPr>
          <w:rFonts w:ascii="Times New Roman" w:eastAsia="Times New Roman" w:hAnsi="Times New Roman" w:cs="Times New Roman"/>
          <w:sz w:val="24"/>
          <w:szCs w:val="24"/>
        </w:rPr>
        <w:t>го фирменного стиля), но требует раскрытия имиджа территории, предполагает использование методов стратегического и рыночного планирования, инновационный подход к особенностям восприятия потребителей, изучение составляющих имиджа территории, совмещает особе</w:t>
      </w:r>
      <w:r>
        <w:rPr>
          <w:rFonts w:ascii="Times New Roman" w:eastAsia="Times New Roman" w:hAnsi="Times New Roman" w:cs="Times New Roman"/>
          <w:sz w:val="24"/>
          <w:szCs w:val="24"/>
        </w:rPr>
        <w:t>нности его основного сообщения с каналами его распространения, учитывает аспекты, на которых стоит делать больший акцент при развитии сферы туризма и гостеприимства.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контексте изменившихся геополитических условий, усиления конкуренции на международном и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региональных туристских рынках между туристскими дестинациями, с учетом современных тенденций продвижения и возможностей, возникающих в результате развития новых технологий, в настоящее время для привлечения туристов требуются новые методы и подходы к созд</w:t>
      </w:r>
      <w:r>
        <w:rPr>
          <w:rFonts w:ascii="Times New Roman" w:eastAsia="Times New Roman" w:hAnsi="Times New Roman" w:cs="Times New Roman"/>
          <w:sz w:val="24"/>
          <w:szCs w:val="24"/>
        </w:rPr>
        <w:t>анию метабренда Санкт-Петербурга и повышению конкурентоспособности Санкт-Петербурга. Последние исследования о роли бренда свидетельствуют о важности данного процесса в формировании позитивного имиджа, выраженного в росте экономических и социальных показате</w:t>
      </w:r>
      <w:r>
        <w:rPr>
          <w:rFonts w:ascii="Times New Roman" w:eastAsia="Times New Roman" w:hAnsi="Times New Roman" w:cs="Times New Roman"/>
          <w:sz w:val="24"/>
          <w:szCs w:val="24"/>
        </w:rPr>
        <w:t>лей, в том числе в росте туристской привлекательности.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бренда территории (регионального метабренда как более глобальной его формы) и его эффективной интеграции во внутреннюю и внешнюю среду позволяет обеспечить рост благосостояния территории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расширение возможностей привлечения различных целевых групп (инвесторы, туристы, жители, работники отрасли).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Метабренд – это комплекс визуальных, идеологических и культурных элементов идентификации, основанных на внутренней стратегии развития территории. </w:t>
      </w:r>
      <w:r>
        <w:rPr>
          <w:rFonts w:ascii="Times New Roman" w:eastAsia="Times New Roman" w:hAnsi="Times New Roman" w:cs="Times New Roman"/>
          <w:sz w:val="24"/>
          <w:szCs w:val="24"/>
        </w:rPr>
        <w:t>В основе метабренда лежит совокупность уникальных качеств и оригинальных характеристик территории и ее жителей, которая образована историей, природой, культурой, религией, экономикой, сложившимся социально-бытовым укладом. Формирование метабренда позволяет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объединить преимущества и нивелировать недостатки региона в целях эффективного позиционирования среди целевых аудиторий его туристического, инвестиционного, общественного, потребительского и управленческого потенциала. Метабренд является платформой для ра</w:t>
      </w:r>
      <w:r>
        <w:rPr>
          <w:rFonts w:ascii="Times New Roman" w:eastAsia="Times New Roman" w:hAnsi="Times New Roman" w:cs="Times New Roman"/>
          <w:sz w:val="24"/>
          <w:szCs w:val="24"/>
        </w:rPr>
        <w:t>зработки суббрендов и позволяет координировать деятельность органов власти и организаций различных отраслей экономики при продвижении идей, технологий, товаров, работ и услуг, создаваемых в регионе. Сформированный метабренд представляет собой сложную психо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социальную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конструкцию, обязательно включающую его физическое и символическое выражение (логотип), а также нематериальные атрибуты. Построение метабренда требует мощной и системной работы, организация и финансирование которой относится к исключительно госу</w:t>
      </w:r>
      <w:r>
        <w:rPr>
          <w:rFonts w:ascii="Times New Roman" w:eastAsia="Times New Roman" w:hAnsi="Times New Roman" w:cs="Times New Roman"/>
          <w:sz w:val="24"/>
          <w:szCs w:val="24"/>
        </w:rPr>
        <w:t>дарственным интересам.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 к развитию и продвижению Санкт-Петербурга с точки зрения развития регионального метабренда позволяет не только определить сравнительные конкурентные преимущества Санкт-Петербурга для их демонстрации целевым группам, но и разра</w:t>
      </w:r>
      <w:r>
        <w:rPr>
          <w:rFonts w:ascii="Times New Roman" w:eastAsia="Times New Roman" w:hAnsi="Times New Roman" w:cs="Times New Roman"/>
          <w:sz w:val="24"/>
          <w:szCs w:val="24"/>
        </w:rPr>
        <w:t>батывать конкретные методы формирования и продвижения визуальных, идеологических и культурных констант Санкт-Петербурга, основанных на единой стратегии развития территории.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Важным фактором эффективного продвижения туристского потенциала Санкт-Петербурга до</w:t>
      </w:r>
      <w:r>
        <w:rPr>
          <w:rFonts w:ascii="Times New Roman" w:eastAsia="Times New Roman" w:hAnsi="Times New Roman" w:cs="Times New Roman"/>
          <w:sz w:val="24"/>
          <w:szCs w:val="24"/>
        </w:rPr>
        <w:t>лжен стать комплексный подход к выбору целевых внутренних и внешних рынков и определению сегментов туристов. Реализация этого направления требует проведения регулярных маркетинговых исследований, позволяющих проанализировать предпочтения, барьеры и предубе</w:t>
      </w:r>
      <w:r>
        <w:rPr>
          <w:rFonts w:ascii="Times New Roman" w:eastAsia="Times New Roman" w:hAnsi="Times New Roman" w:cs="Times New Roman"/>
          <w:sz w:val="24"/>
          <w:szCs w:val="24"/>
        </w:rPr>
        <w:t>ждения туристов, а также сформировать ценностные предложения с учетом специфики рынков.</w:t>
      </w:r>
    </w:p>
    <w:p w:rsidR="0087504D" w:rsidRDefault="0087504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11.2.1. Реализация комплекса мер по продвижению</w:t>
      </w:r>
    </w:p>
    <w:p w:rsidR="0087504D" w:rsidRDefault="00685926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туристского потенциала Санкт-Петербурга</w:t>
      </w:r>
    </w:p>
    <w:p w:rsidR="0087504D" w:rsidRDefault="0087504D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Эффективное продвижение на внутреннем и внешнем рынках подразумевает комплекс </w:t>
      </w:r>
      <w:r>
        <w:rPr>
          <w:rFonts w:ascii="Times New Roman" w:eastAsia="Times New Roman" w:hAnsi="Times New Roman" w:cs="Times New Roman"/>
          <w:sz w:val="24"/>
          <w:szCs w:val="24"/>
        </w:rPr>
        <w:t>мер, направленных прежде всего на донесение ценностного предложения туристского бренда, за которыми должно следовать осознание потребности и формирование устойчивого спроса на туристский продукт.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Важным аспектом маркетинговой стратегии является ориентирова</w:t>
      </w:r>
      <w:r>
        <w:rPr>
          <w:rFonts w:ascii="Times New Roman" w:eastAsia="Times New Roman" w:hAnsi="Times New Roman" w:cs="Times New Roman"/>
          <w:sz w:val="24"/>
          <w:szCs w:val="24"/>
        </w:rPr>
        <w:t>ние как на групповых туристов, так и на самостоятельных путешественников, доля которых растет с каждым годом. Одновременно необходимо учитывать возрастающую роль впечатлений и снижение значимости рациональных факторов, определяющих территорию назначения по</w:t>
      </w:r>
      <w:r>
        <w:rPr>
          <w:rFonts w:ascii="Times New Roman" w:eastAsia="Times New Roman" w:hAnsi="Times New Roman" w:cs="Times New Roman"/>
          <w:sz w:val="24"/>
          <w:szCs w:val="24"/>
        </w:rPr>
        <w:t>ездки.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продвижение туристского потенциала Санкт-Петербурга осуществляется с применением как традиционных методов (проведение презентационных мероприятий с участием представителей туристской индустрии Санкт-Петербурга, организация информац</w:t>
      </w:r>
      <w:r>
        <w:rPr>
          <w:rFonts w:ascii="Times New Roman" w:eastAsia="Times New Roman" w:hAnsi="Times New Roman" w:cs="Times New Roman"/>
          <w:sz w:val="24"/>
          <w:szCs w:val="24"/>
        </w:rPr>
        <w:t>ионно-ознакомительных визитов российских и иностранных журналистов и туроператоров в Санкт-Петербург, размещение информации о Санкт-Петербурге в российских и иностранных средствах массовой информации, а также имиджевой информации о Санкт-Петербурге на нару</w:t>
      </w:r>
      <w:r>
        <w:rPr>
          <w:rFonts w:ascii="Times New Roman" w:eastAsia="Times New Roman" w:hAnsi="Times New Roman" w:cs="Times New Roman"/>
          <w:sz w:val="24"/>
          <w:szCs w:val="24"/>
        </w:rPr>
        <w:t>жных носителях в крупных российских и зарубежных городах, обмен социальной рекламой в области туризма между Санкт-Петербургом и регионами Российской Федерации и зарубежными дестинациями, публикации презентационных материалов о различных направлениях туризм</w:t>
      </w:r>
      <w:r>
        <w:rPr>
          <w:rFonts w:ascii="Times New Roman" w:eastAsia="Times New Roman" w:hAnsi="Times New Roman" w:cs="Times New Roman"/>
          <w:sz w:val="24"/>
          <w:szCs w:val="24"/>
        </w:rPr>
        <w:t>а в Санкт-Петербурге в специализированных периодических изданиях в стране и за рубежом, участие в межрегиональных туристских проектах), так и инновационных методов продвижения, в том числе путем размещения информационных поводов в информационно-телекоммуни</w:t>
      </w:r>
      <w:r>
        <w:rPr>
          <w:rFonts w:ascii="Times New Roman" w:eastAsia="Times New Roman" w:hAnsi="Times New Roman" w:cs="Times New Roman"/>
          <w:sz w:val="24"/>
          <w:szCs w:val="24"/>
        </w:rPr>
        <w:t>кационной сети «Интернет», продвижения Санкт-Петербурга под брендом Visit Petersburg на территории приоритетных туристских рынков, продвижения конкурентных преимуществ Санкт-Петербурга на внешние рынки, укрепления международных и внешнеэкономических связей</w:t>
      </w:r>
      <w:r>
        <w:rPr>
          <w:rFonts w:ascii="Times New Roman" w:eastAsia="Times New Roman" w:hAnsi="Times New Roman" w:cs="Times New Roman"/>
          <w:sz w:val="24"/>
          <w:szCs w:val="24"/>
        </w:rPr>
        <w:t>, продвижения Санкт-Петербурга как туристской дестинации на российском и международном туристских рынках.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учетом необходимости нивелирования негативных факторов изменившейся геополитической ситуации последних лет, были определены новые перспективные точк</w:t>
      </w:r>
      <w:r>
        <w:rPr>
          <w:rFonts w:ascii="Times New Roman" w:eastAsia="Times New Roman" w:hAnsi="Times New Roman" w:cs="Times New Roman"/>
          <w:sz w:val="24"/>
          <w:szCs w:val="24"/>
        </w:rPr>
        <w:t>и роста и механизмы устойчивого развития туризма в Санкт-Петербурге: был сделан акцент на развитие внутреннего туризма и межрегионального взаимодействия.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целях продвижения Санкт-Петербурга на региональном и международном туристских рынках, КРТ совместно </w:t>
      </w:r>
      <w:r>
        <w:rPr>
          <w:rFonts w:ascii="Times New Roman" w:eastAsia="Times New Roman" w:hAnsi="Times New Roman" w:cs="Times New Roman"/>
          <w:sz w:val="24"/>
          <w:szCs w:val="24"/>
        </w:rPr>
        <w:t>с ГБУ «ГТИБ» реализует масштабную маркетинговую кампанию «Добро пожаловать в Петербург».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целью повышения привлекательности города в качестве ведущего туристского центра регулярно организуются выездные презентации с серией деловых встреч. Такие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я способствуют росту въездного туристского потока и помогают налаживать взаимодействие между профессионалами сферы гостеприимства. В мероприятиях участвуют туроператоры, представители гостиничной инфраструктуры, судоходные компании, другие ведущие представ</w:t>
      </w:r>
      <w:r>
        <w:rPr>
          <w:rFonts w:ascii="Times New Roman" w:eastAsia="Times New Roman" w:hAnsi="Times New Roman" w:cs="Times New Roman"/>
          <w:sz w:val="24"/>
          <w:szCs w:val="24"/>
        </w:rPr>
        <w:t>ители туротрасли, предлагающие услуги по приёму туристов в Санкт-Петербурге.</w:t>
      </w:r>
    </w:p>
    <w:p w:rsidR="0087504D" w:rsidRDefault="00685926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 году серии деловых встреч и презентаций состоялись:</w:t>
      </w:r>
    </w:p>
    <w:p w:rsidR="0087504D" w:rsidRDefault="00685926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Российской Федерации по городам Поволжья (Нижний Новгород, Казань, Самара, Оренбург), Сибири (Новосибирск,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Томск, Новокузнецк, Красноярск) и городам Урала (Пермь, Тюмень, Челябинск, Екатеринбург). Всего в мероприятиях приняли участие порядка 40 представителей туротрасли из Санкт-Петербурга, мероприятие посетили более 700 представителей местных туроператоров;</w:t>
      </w:r>
    </w:p>
    <w:p w:rsidR="0087504D" w:rsidRDefault="00685926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странах СНГ: Республике Беларусь, Казахстане, Азербайджане, Армении, Узбекистане, которые посетило около 600 представителей турбизнеса;</w:t>
      </w:r>
    </w:p>
    <w:p w:rsidR="0087504D" w:rsidRDefault="00685926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зарубежных странах: Исламской Республике Иран, Объединенных Арабских Эмиратах, Китайской Народной Республик, в которы</w:t>
      </w:r>
      <w:r>
        <w:rPr>
          <w:rFonts w:ascii="Times New Roman" w:eastAsia="Times New Roman" w:hAnsi="Times New Roman" w:cs="Times New Roman"/>
          <w:sz w:val="24"/>
          <w:szCs w:val="24"/>
        </w:rPr>
        <w:t>х приняли участие почти 40 петербургских туристских компаний.</w:t>
      </w:r>
    </w:p>
    <w:p w:rsidR="0087504D" w:rsidRDefault="00685926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Еще одним форматом мероприятий, призванным способствовать продвижению Санкт-Петербурга и росту въездного туристского потока, являются информационно-ознакомительные туры, в ходе которых представи</w:t>
      </w:r>
      <w:r>
        <w:rPr>
          <w:rFonts w:ascii="Times New Roman" w:eastAsia="Times New Roman" w:hAnsi="Times New Roman" w:cs="Times New Roman"/>
          <w:sz w:val="24"/>
          <w:szCs w:val="24"/>
        </w:rPr>
        <w:t>тели сферы гостеприимства из различных регионов нашей необъятной страны, а также дружественных зарубежных стран получают уникальную возможность познакомиться со всем многообразием туризма в Северной столице. Во время проведения инфо-туров на различных площ</w:t>
      </w:r>
      <w:r>
        <w:rPr>
          <w:rFonts w:ascii="Times New Roman" w:eastAsia="Times New Roman" w:hAnsi="Times New Roman" w:cs="Times New Roman"/>
          <w:sz w:val="24"/>
          <w:szCs w:val="24"/>
        </w:rPr>
        <w:t>адках города проходят деловые встречи, в ходе которых обсуждаются перспективы сотрудничества и заключаются соглашения о намерениях.</w:t>
      </w:r>
    </w:p>
    <w:p w:rsidR="0087504D" w:rsidRDefault="00685926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 году состоялись информационно-ознакомительные туры для:</w:t>
      </w:r>
    </w:p>
    <w:p w:rsidR="0087504D" w:rsidRDefault="00685926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32 представителей ведущих туристских компаний из регионов </w:t>
      </w:r>
      <w:r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87504D" w:rsidRDefault="00685926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 ведущих туроператоров по выездному туризму Китайской Народной Республики. </w:t>
      </w:r>
    </w:p>
    <w:p w:rsidR="0087504D" w:rsidRDefault="00685926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Масштабная информационная кампания «Добро пожаловать в Санкт-Петербург» включает размещение информации в печатных и электронных СМИ, сюжеты на радио и федеральных телекан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алах. </w:t>
      </w:r>
    </w:p>
    <w:p w:rsidR="0087504D" w:rsidRDefault="00685926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Красочные имиджевые макеты о Северной столице опубликованы в бортовых журналах авиакомпаний S7, R-Flight, Аэрофлот, Аэрофлот Premium, Utair, Уральские авиалинии, Высокий полёт, Аэроэкспресс, Белавиа. Кроме того, о возможностях отдыха в Санкт-Петербу</w:t>
      </w:r>
      <w:r>
        <w:rPr>
          <w:rFonts w:ascii="Times New Roman" w:eastAsia="Times New Roman" w:hAnsi="Times New Roman" w:cs="Times New Roman"/>
          <w:sz w:val="24"/>
          <w:szCs w:val="24"/>
        </w:rPr>
        <w:t>рге узнают читатели изданий АТОР, Rata-News, Коммерсант, РБК, Парламентская Газета, Российская Газета, Discovery, Russian Traveler, КудаGo, и зрители медиаплатформы «Смотрим». Рекламные сюжеты, презентующие возможности сферы гостеприимства Санкт-Петербурга</w:t>
      </w:r>
      <w:r>
        <w:rPr>
          <w:rFonts w:ascii="Times New Roman" w:eastAsia="Times New Roman" w:hAnsi="Times New Roman" w:cs="Times New Roman"/>
          <w:sz w:val="24"/>
          <w:szCs w:val="24"/>
        </w:rPr>
        <w:t>, транслируются на телеканалах России и стран СНГ: Россия 1, Россия 24, Россия Культура, МИР 24 и МИР Евразия. Аудиоролики о туристических возможностях города транслируются на Русском радио, Хит ФМ, ДФМ, Монте Карло, Максимум (всего более 1400 роликов).</w:t>
      </w:r>
    </w:p>
    <w:p w:rsidR="0087504D" w:rsidRDefault="0087504D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1.2.2. Развитие информационной и коммуникационной систем</w:t>
      </w:r>
    </w:p>
    <w:p w:rsidR="0087504D" w:rsidRDefault="00685926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сфере туризма Санкт-Петербурга</w:t>
      </w:r>
    </w:p>
    <w:p w:rsidR="0087504D" w:rsidRDefault="0087504D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Необходимость мер по совершенствованию управления процессами формирования и передачи информации о туристской деятельности в Санкт-Петербурге обусловлена тем, что бол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ьшое значение в конкуренции дестинаций на национальном и глобальном уровне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 борьбе за инвестиции, приток туристов и рабочей силы, создание благоприятной атмосферы для жителей приобретает применение инновационных подходов к продвижению территориального бре</w:t>
      </w:r>
      <w:r>
        <w:rPr>
          <w:rFonts w:ascii="Times New Roman" w:eastAsia="Times New Roman" w:hAnsi="Times New Roman" w:cs="Times New Roman"/>
          <w:sz w:val="24"/>
          <w:szCs w:val="24"/>
        </w:rPr>
        <w:t>нда и выбору индивидуальных каналов коммуникации.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информационно-коммуникационная поддержка туризма в Санкт-Петербурге по праву является одной из самых развитых в Российской Федерации.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в Санкт-Петербурге работают 2 информ</w:t>
      </w:r>
      <w:r>
        <w:rPr>
          <w:rFonts w:ascii="Times New Roman" w:eastAsia="Times New Roman" w:hAnsi="Times New Roman" w:cs="Times New Roman"/>
          <w:sz w:val="24"/>
          <w:szCs w:val="24"/>
        </w:rPr>
        <w:t>ационных офиса, 4 информационных павильона, расположенные в непосредственной близости от основных достопримечательностей города, 2 стойки в аэропорту «Пулково», информационно-кассовый павильон на территории музейно-исторического парка «Остров фортов» в Кро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нштадте. В тестовом режиме открылись информационные стойки на Московском и Ладожском вокзалах. В 2023 году павильоны и офисы посетило около 239 000 туристов. Поступило более 5 000 телефонных обращений. 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Главной задачей сотрудников информационных центров яв</w:t>
      </w:r>
      <w:r>
        <w:rPr>
          <w:rFonts w:ascii="Times New Roman" w:eastAsia="Times New Roman" w:hAnsi="Times New Roman" w:cs="Times New Roman"/>
          <w:sz w:val="24"/>
          <w:szCs w:val="24"/>
        </w:rPr>
        <w:t>ляется бесплатное представление информации о достопримечательностях Санкт-Петербурга и его пригородов туристам и жителям города; информирование об официальных культурных, спортивных и городских мероприятиях Санкт-Петербурга, об объектах размещения и предос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тавление иной необходимой информации с целью создания комфортной информационной среды, а также продвижение туристского продукта Санкт-Петербурга.  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высокого туристского сезона в Санкт-Петербурге действует информационная мобильная служба «Турпомощь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– это туристско-информационная помощь гостям города, созданная для обеспечения комфортного и безопасного пребывания туристов в Санкт-Петербурге. 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Сотрудники службы владеют русским и английским языками. К специалисту службы можно обратиться по вопросам ор</w:t>
      </w:r>
      <w:r>
        <w:rPr>
          <w:rFonts w:ascii="Times New Roman" w:eastAsia="Times New Roman" w:hAnsi="Times New Roman" w:cs="Times New Roman"/>
          <w:sz w:val="24"/>
          <w:szCs w:val="24"/>
        </w:rPr>
        <w:t>иентирования по городу, режима работы музеев, вариантов проведения досуга. Также сотрудник может ответить на все вопросы, касающиеся обращения в ГУ МВД, проводить туристов в отделение полиции. Сотрудники службы осуществляют как пешее дежурство, так и дежур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ство с использованием транспортных средств (сегвеи и самокаты). 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обращений туристов в информационную мобильную службу в 2023 году – около 120 тыс. туристов.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Санкт-Петербурге уже несколько лет действует бесплатная туристская телефонная линия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«Контакт-центр», сотрудники которой оказывают туристам информационную поддержку, в том числе и в экстренных ситуациях. 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 туристским информационным ресурсом Санкт-Петербурга является портал Visit Petersburg. 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Продвижение бренда Visit Petersburg такж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осуществляется с помощью социальных сетей ВКонтакте,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eastAsia="Times New Roman" w:hAnsi="Times New Roman" w:cs="Times New Roman"/>
          <w:sz w:val="24"/>
          <w:szCs w:val="24"/>
        </w:rPr>
        <w:t>. Оригинальный цифровой контент публикуется дифференцированно для каждого медиасредства с учетом особенностей целевой аудитории и социальной сети. Охват по социальным сетям за 2023 год составил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Вконтакте Visit-Petersburg – около 3 млн.; Телеграм Visit-Petersburg – более 3 млн. 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 году ко всем интернет-ресурсам обратилось 1 154 114 пользователей.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на международной арене продвижение туристского потенциала Санкт-Петербурга осуществ</w:t>
      </w:r>
      <w:r>
        <w:rPr>
          <w:rFonts w:ascii="Times New Roman" w:eastAsia="Times New Roman" w:hAnsi="Times New Roman" w:cs="Times New Roman"/>
          <w:sz w:val="24"/>
          <w:szCs w:val="24"/>
        </w:rPr>
        <w:t>ляется с помощью представительских офисов Visit Petersburg. Работа представительских офисов направлена на предоставление информационных услуг о Санкт-Петербурге, повышение узнаваемости Санкт-Петербурга среди потенциальных туристов, привлечение туристическо</w:t>
      </w:r>
      <w:r>
        <w:rPr>
          <w:rFonts w:ascii="Times New Roman" w:eastAsia="Times New Roman" w:hAnsi="Times New Roman" w:cs="Times New Roman"/>
          <w:sz w:val="24"/>
          <w:szCs w:val="24"/>
        </w:rPr>
        <w:t>го потока и инвесторов в туристскую отрасль Санкт-Петербурга.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представительские офисы открыты в Гонконге (Специальный административный район Китайской Народной Республики), Тайбэе (Китайская Народная Республика), Нью-Дели (Индия), Мумбаи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(Индия), Лейпциге (Германия), Римини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 Палермо (Италия), Дубае (Объединенные Арабские Эмираты), Токио (Япония), Барселоне (Испания), Ереване (Армения), Доха (Катар), Хельсинки (Финляндия).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Тенденции развития туристских информационных систем и платформ пока</w:t>
      </w:r>
      <w:r>
        <w:rPr>
          <w:rFonts w:ascii="Times New Roman" w:eastAsia="Times New Roman" w:hAnsi="Times New Roman" w:cs="Times New Roman"/>
          <w:sz w:val="24"/>
          <w:szCs w:val="24"/>
        </w:rPr>
        <w:t>зывают их возрастающую значимость для рынка туристских услуг: внедрение современных цифровых технологий создает предпосылки для повышения прибыльности отрасли, перехода участников рынка в онлайн-сферу, в связи с чем одной из актуальных и важных задач для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азвития внутреннего и въездного туризма, определенных </w:t>
      </w:r>
      <w:hyperlink r:id="rId38">
        <w:r>
          <w:rPr>
            <w:rFonts w:ascii="Times New Roman" w:eastAsia="Times New Roman" w:hAnsi="Times New Roman" w:cs="Times New Roman"/>
            <w:sz w:val="24"/>
            <w:szCs w:val="24"/>
          </w:rPr>
          <w:t>Стратегией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от 20.09.2019 № 2129-р, является создание условий для формирования в перспективе туристской экосистемы, объединяющей всех участни</w:t>
      </w:r>
      <w:r>
        <w:rPr>
          <w:rFonts w:ascii="Times New Roman" w:eastAsia="Times New Roman" w:hAnsi="Times New Roman" w:cs="Times New Roman"/>
          <w:sz w:val="24"/>
          <w:szCs w:val="24"/>
        </w:rPr>
        <w:t>ков рынка на онлайн-платформе, интегрированной с внешними источниками данных и социальными платформами. На базе онлайн-платформы могут быть разработаны различные блоки, сервисы и мобильные приложения, в которых будут реализованы функции, направленные на ра</w:t>
      </w:r>
      <w:r>
        <w:rPr>
          <w:rFonts w:ascii="Times New Roman" w:eastAsia="Times New Roman" w:hAnsi="Times New Roman" w:cs="Times New Roman"/>
          <w:sz w:val="24"/>
          <w:szCs w:val="24"/>
        </w:rPr>
        <w:t>звитие системы продвижения туристского продукта. Среди важнейших цифровых решений определено создание туристского маркетплейса – информационной системы на базе цифровой платформы по предоставлению информации, бронированию и приобретению туристских продукто</w:t>
      </w:r>
      <w:r>
        <w:rPr>
          <w:rFonts w:ascii="Times New Roman" w:eastAsia="Times New Roman" w:hAnsi="Times New Roman" w:cs="Times New Roman"/>
          <w:sz w:val="24"/>
          <w:szCs w:val="24"/>
        </w:rPr>
        <w:t>в на территории Российской Федерации, объединяющей значительное число участников рынка туристских услуг.</w:t>
      </w:r>
    </w:p>
    <w:p w:rsidR="0087504D" w:rsidRDefault="0087504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11.2.3. Формирование привлекательной, безопасной и комфортной</w:t>
      </w:r>
    </w:p>
    <w:p w:rsidR="0087504D" w:rsidRDefault="00685926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пребывания туристов городской среды Санкт-Петербурга</w:t>
      </w:r>
    </w:p>
    <w:p w:rsidR="0087504D" w:rsidRDefault="0087504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туристской </w:t>
      </w:r>
      <w:r>
        <w:rPr>
          <w:rFonts w:ascii="Times New Roman" w:eastAsia="Times New Roman" w:hAnsi="Times New Roman" w:cs="Times New Roman"/>
          <w:sz w:val="24"/>
          <w:szCs w:val="24"/>
        </w:rPr>
        <w:t>привлекательности Санкт-Петербурга в современном мире необходимо внедрение немоторизованных средств передвижения (велосипедов, самокатов, сегвеев и т.д.) в туристские продукты Санкт-Петербурга в целях сохранения экосистемы Санкт-Петербурга.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Совершенствуетс</w:t>
      </w:r>
      <w:r>
        <w:rPr>
          <w:rFonts w:ascii="Times New Roman" w:eastAsia="Times New Roman" w:hAnsi="Times New Roman" w:cs="Times New Roman"/>
          <w:sz w:val="24"/>
          <w:szCs w:val="24"/>
        </w:rPr>
        <w:t>я система обеспечения безопасности туристов, в том числе через проведение обучения иностранным языкам сотрудников ГУ МВД, обеспечивающих общественный порядок на пешеходных зонах, по которым пролегают популярные прогулочные и туристские маршруты.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Ежегодно п</w:t>
      </w:r>
      <w:r>
        <w:rPr>
          <w:rFonts w:ascii="Times New Roman" w:eastAsia="Times New Roman" w:hAnsi="Times New Roman" w:cs="Times New Roman"/>
          <w:sz w:val="24"/>
          <w:szCs w:val="24"/>
        </w:rPr>
        <w:t>амятка о безопасном пребывании туристов в Санкт-Петербурге издается на иностранных языках и бесплатно распространяется в офисах и павильонах ГБУ «ГТИБ».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Важным направлением повышения привлекательности и стимулирования спроса иностранных туристов на туристс</w:t>
      </w:r>
      <w:r>
        <w:rPr>
          <w:rFonts w:ascii="Times New Roman" w:eastAsia="Times New Roman" w:hAnsi="Times New Roman" w:cs="Times New Roman"/>
          <w:sz w:val="24"/>
          <w:szCs w:val="24"/>
        </w:rPr>
        <w:t>кий продукт является создание условий по упрощению визового режима, в частности введение механизма электронных виз.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положениями Федерального закона № 305-ФЗ граждане 52 государств могут получить единую электронную визу, действительную на в</w:t>
      </w:r>
      <w:r>
        <w:rPr>
          <w:rFonts w:ascii="Times New Roman" w:eastAsia="Times New Roman" w:hAnsi="Times New Roman" w:cs="Times New Roman"/>
          <w:sz w:val="24"/>
          <w:szCs w:val="24"/>
        </w:rPr>
        <w:t>сей территории Российской Федерации.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оформления единых электронных виз утвержден постановлением Правительства Российской Федерации от 07.11.2020 № 1793. Виза оформляется российским дипломатическим представительством или консульским учреждением инос</w:t>
      </w:r>
      <w:r>
        <w:rPr>
          <w:rFonts w:ascii="Times New Roman" w:eastAsia="Times New Roman" w:hAnsi="Times New Roman" w:cs="Times New Roman"/>
          <w:sz w:val="24"/>
          <w:szCs w:val="24"/>
        </w:rPr>
        <w:t>транному гражданину, который подает заявление о ее оформлении на специализированном сайте в информационно-телекоммуникационной сети «Интернет» или с использованием специализированного мобильного приложения. Срок оформления такой визы – не более 4 календарн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дней с даты подачи заявления. Единая электронная виза является однократной. Срок ее действия 60 суток со дня ее оформления, разрешенный срок пребывания в России – не более 16 суток со дня въезда на ее территорию. 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КРТ в рамках своей компетенции проводит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работу по информированию иностранных граждан о механизме использования электронных виз. Информирование иностранных граждан, прибывающих в Санкт-Петербург в туристских целях, организовано КРТ посредством информационной рассылки туристским и гостиничным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опе</w:t>
      </w:r>
      <w:r>
        <w:rPr>
          <w:rFonts w:ascii="Times New Roman" w:eastAsia="Times New Roman" w:hAnsi="Times New Roman" w:cs="Times New Roman"/>
          <w:sz w:val="24"/>
          <w:szCs w:val="24"/>
        </w:rPr>
        <w:t>раторам, а также конгрессно-выставочным предприятиям Санкт-Петербурга о введении механизма выдачи электронных виз. Также проводится работа по информированию иностранных партнеров из числа зарубежных авиакомпаний, аэропортов, туроператоров, национальных офи</w:t>
      </w:r>
      <w:r>
        <w:rPr>
          <w:rFonts w:ascii="Times New Roman" w:eastAsia="Times New Roman" w:hAnsi="Times New Roman" w:cs="Times New Roman"/>
          <w:sz w:val="24"/>
          <w:szCs w:val="24"/>
        </w:rPr>
        <w:t>сов по туризму и других заинтересованных участников рынка.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разработана информационная памятка о порядке въезда на территорию Санкт-Петербурга и Ленинградской области с использованием электронных виз (включая информацию о сроках и порядке пребы</w:t>
      </w:r>
      <w:r>
        <w:rPr>
          <w:rFonts w:ascii="Times New Roman" w:eastAsia="Times New Roman" w:hAnsi="Times New Roman" w:cs="Times New Roman"/>
          <w:sz w:val="24"/>
          <w:szCs w:val="24"/>
        </w:rPr>
        <w:t>вания на территории Российской Федерации, о пунктах пропуска через Государственную границу Российской Федерации, через которые возможен въезд с использованием электронной визы).</w:t>
      </w:r>
    </w:p>
    <w:p w:rsidR="0087504D" w:rsidRDefault="0087504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widowControl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11.2.4. Содействие развитию кадрового потенциала туристической отрасли</w:t>
      </w:r>
    </w:p>
    <w:p w:rsidR="0087504D" w:rsidRDefault="0087504D">
      <w:pPr>
        <w:widowControl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04D" w:rsidRDefault="00685926">
      <w:pPr>
        <w:widowControl w:val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</w:t>
      </w:r>
      <w:r>
        <w:rPr>
          <w:rFonts w:ascii="Times New Roman" w:eastAsia="Times New Roman" w:hAnsi="Times New Roman" w:cs="Times New Roman"/>
          <w:sz w:val="24"/>
          <w:szCs w:val="24"/>
        </w:rPr>
        <w:t>рентоспособность туристского продукта, предлагаемого на внутреннем и внешнем рынках, определяется, в частности, качеством обслуживания и уровнем сервиса. Достижение высокого (на уровне лучшего международного опыта) уровня оказываемых услуг и сервиса в сфер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туризма в первую очередь требует обеспечения туристической отрасли достаточным количеством квалифицированных кадров. </w:t>
      </w:r>
    </w:p>
    <w:p w:rsidR="0087504D" w:rsidRDefault="00685926">
      <w:pPr>
        <w:widowControl w:val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совершенствования кадрового обеспечения туристической отрасли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Постановлением Правительства Санкт-Петербурга от 08.02.2022 № 71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чреждена автономная некоммерческая организация «Центр компетенций в сфере туризма 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гостеприимства» (далее – Центр компетенций), деятельность которой направлена, в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частности, на организацию профессионального обучения по программам подготовки специалистов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сфере туризма и гостеприимства, а также смежных направлений деятельности (в том числе организация событий, конгрессов, конференций, выставок 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др.) в соответствии с российскими и международными стандартами.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КРТ в 2023 году реализовывался региональный прое</w:t>
      </w:r>
      <w:r>
        <w:rPr>
          <w:rFonts w:ascii="Times New Roman" w:eastAsia="Calibri" w:hAnsi="Times New Roman" w:cs="Times New Roman"/>
          <w:bCs/>
          <w:sz w:val="24"/>
          <w:szCs w:val="24"/>
        </w:rPr>
        <w:t>кт «Совершенствование управления в сфере туризма (город федерального значения Санкт-Петербург)» в рамках федерального проекта «Совершенствование управления в сфере туризма» национального проекта «Туризм и индустрия гостеприимства».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Региональный проект реал</w:t>
      </w:r>
      <w:r>
        <w:rPr>
          <w:rFonts w:ascii="Times New Roman" w:eastAsia="Calibri" w:hAnsi="Times New Roman" w:cs="Times New Roman"/>
          <w:sz w:val="24"/>
          <w:szCs w:val="24"/>
        </w:rPr>
        <w:t>изовывался на базе Центра компетенций.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Целевым значением достижения результата регионального проекта в 2023 году является 1 500 слушателей, успешно завершивших обучение в международном центре компетенций в сфере туризма и гостеприимства в Санкт-Петербурге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 программам профессиональной переподготовки и повышения квалификации для отрасли туризма 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</w:rPr>
        <w:t>сферы гостеприимства.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Центром компетенций совместно с лидерами отрасли разработаны 9 программ повышения квалификации: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«Организация промышленного туризма» 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«Формирование системы менеджмента качества для сотрудников туристической отрасли, в том числе индустрии гостеприимства и общественного питания: СМК, ХАССП и Халяль» 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«Интернет технологии в организации туристического обслуживания»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«Содержание и методика </w:t>
      </w:r>
      <w:r>
        <w:rPr>
          <w:rFonts w:ascii="Times New Roman" w:eastAsia="Calibri" w:hAnsi="Times New Roman" w:cs="Times New Roman"/>
          <w:sz w:val="24"/>
          <w:szCs w:val="24"/>
        </w:rPr>
        <w:t>преподавания дисциплин в сфере туризма 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гостеприимства»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«Российское гостеприимство: организация экскурсионного обслуживания», 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«Механизмы ценообразования туристской деятельности»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«Технологии нишевого туризма: арт туризм, экспедиционный туризм»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«Мастер-пла</w:t>
      </w:r>
      <w:r>
        <w:rPr>
          <w:rFonts w:ascii="Times New Roman" w:eastAsia="Calibri" w:hAnsi="Times New Roman" w:cs="Times New Roman"/>
          <w:sz w:val="24"/>
          <w:szCs w:val="24"/>
        </w:rPr>
        <w:t>нирование туристских дестинаций»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«Новаторские инструменты в организации конгрессно-выставочной деятельности».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Центром компетенций проведен мониторинг и разработана методология по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актуализации и оценке качества существующих образовательных программ высшего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 и среднего профессионального образования в сфере туризма 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гостеприимства на предмет соответствия международным стандартам.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 исполнение поручения Президента Российской Федерации Путина В.В. Центром компетенций разработан проект отраслевой рам</w:t>
      </w:r>
      <w:r>
        <w:rPr>
          <w:rFonts w:ascii="Times New Roman" w:eastAsia="Calibri" w:hAnsi="Times New Roman" w:cs="Times New Roman"/>
          <w:sz w:val="24"/>
          <w:szCs w:val="24"/>
        </w:rPr>
        <w:t>ки квалификации, которая позволяет выстроить систему подготовки кадров для отрасли с учетом опережения ее развития. Проект рамки квалификаций в сфере туризма разрабатывался с привлечением работодателей и образовательных учреждений, что позволило учесть тре</w:t>
      </w:r>
      <w:r>
        <w:rPr>
          <w:rFonts w:ascii="Times New Roman" w:eastAsia="Calibri" w:hAnsi="Times New Roman" w:cs="Times New Roman"/>
          <w:sz w:val="24"/>
          <w:szCs w:val="24"/>
        </w:rPr>
        <w:t>бования со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стороны рынка труда и сферы образования. 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Форума по гостеприимству для развития сотрудничества стран участников межгосударственного объединения БРИКС+ состоялся «Форум по гостеприимству для развития сотрудничества стран участников межго</w:t>
      </w:r>
      <w:r>
        <w:rPr>
          <w:rFonts w:ascii="Times New Roman" w:eastAsia="Calibri" w:hAnsi="Times New Roman" w:cs="Times New Roman"/>
          <w:sz w:val="24"/>
          <w:szCs w:val="24"/>
        </w:rPr>
        <w:t>сударственного объединения БРИКС+», тренинги для представителей отрасли и образовательных организаций, занятых в сфере туризма по формированию турпродукта для развития въездного туризма и выездного туризма в рамках сотрудничества России со странами БРИКС +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(Индия, Вьетнам).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2023 году на базе Центра компетенций в рамках субсидии в виде имущественного взноса на финансовое обеспечение уставной деятельности проведено обучение в целях повышения квалификации отрасли туризма по 3 образовательным программам, разр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аботанным в соответствии с российскими и международными стандартами: 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«Санкт-Петербург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Friendly</w:t>
      </w:r>
      <w:r>
        <w:rPr>
          <w:rFonts w:ascii="Times New Roman" w:eastAsia="Calibri" w:hAnsi="Times New Roman" w:cs="Times New Roman"/>
          <w:bCs/>
          <w:sz w:val="24"/>
          <w:szCs w:val="24"/>
        </w:rPr>
        <w:t>. Особенности организации туристических услуг для гостей из Китая» - 34 человека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«Управление линейным персоналом предприятий сферы гостеприимства» - 33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</w:rPr>
        <w:t>человека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«Разработка СМК.ХАССП» - 37 человек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Центр компетенций может выступить базой для создания в Санкт-Петербурге единственного в стране центра компетенций в сфере туризма и гостеприимства международного уровня, с учетом имеющейся в Санкт-Петербурге базы высокок</w:t>
      </w:r>
      <w:r>
        <w:rPr>
          <w:rFonts w:ascii="Times New Roman" w:eastAsia="Calibri" w:hAnsi="Times New Roman" w:cs="Times New Roman"/>
          <w:sz w:val="24"/>
          <w:szCs w:val="24"/>
        </w:rPr>
        <w:t>валифицированных профессиональных отраслевых кадров, опыта международного сотрудничества, лидирующих позиций Санкт-Петербурга как мирового туристского центра для самых разных направлений туризма – от культурно-познавательного и семейного до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образовательног</w:t>
      </w:r>
      <w:r>
        <w:rPr>
          <w:rFonts w:ascii="Times New Roman" w:eastAsia="Calibri" w:hAnsi="Times New Roman" w:cs="Times New Roman"/>
          <w:sz w:val="24"/>
          <w:szCs w:val="24"/>
        </w:rPr>
        <w:t>о, делового, научного, медицинского, событийного, промышленного 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многих других перспективных видов туристской деятельности.</w:t>
      </w:r>
    </w:p>
    <w:p w:rsidR="0087504D" w:rsidRDefault="0087504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504D" w:rsidRDefault="00685926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11.2.5. Проведение аналитических исследований</w:t>
      </w:r>
    </w:p>
    <w:p w:rsidR="0087504D" w:rsidRDefault="00685926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отрасли туризма Санкт-Петербурга</w:t>
      </w:r>
    </w:p>
    <w:p w:rsidR="0087504D" w:rsidRDefault="0087504D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Национальным проектом «Туризм и индустрия гостеприимства» предусмотрены различные мероприятия по развитию туристского рынка в Российской Федерации, в том числе статистического учета и анализа туриндустрии. 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целью получения оперативной актуальной информац</w:t>
      </w:r>
      <w:r>
        <w:rPr>
          <w:rFonts w:ascii="Times New Roman" w:eastAsia="Calibri" w:hAnsi="Times New Roman" w:cs="Times New Roman"/>
          <w:sz w:val="24"/>
          <w:szCs w:val="24"/>
        </w:rPr>
        <w:t>ии о постоянно изменяющихся показателях индустрии туризма Санкт-Петербурга начиная с периода пандемии, а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последующем - в условиях экономического давления в связи с санкциями недружественных государств и турбулентной конъюнктуры туристского рынка, КРТ осу</w:t>
      </w:r>
      <w:r>
        <w:rPr>
          <w:rFonts w:ascii="Times New Roman" w:eastAsia="Calibri" w:hAnsi="Times New Roman" w:cs="Times New Roman"/>
          <w:sz w:val="24"/>
          <w:szCs w:val="24"/>
        </w:rPr>
        <w:t>ществляется ежегодный мониторинг туристского рынка.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Данные, содержащиеся в работе 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разработке системы туристского мониторинга для оперативного информационно-аналитического обеспечения и принятия решений в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</w:rPr>
        <w:t>индустрии туризма в Санкт-Петербурге,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необходимы,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прежде всего, для органов исполнительной и законодательной власти в части:</w:t>
      </w:r>
    </w:p>
    <w:p w:rsidR="0087504D" w:rsidRDefault="006859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принятия обоснованных управленческих решений не только в сфере туризма, но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смежных областях, поскольку туризм является крупнейшим мультипликатором;</w:t>
      </w:r>
    </w:p>
    <w:p w:rsidR="0087504D" w:rsidRDefault="006859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результаты работы мониторинга </w:t>
      </w:r>
      <w:r>
        <w:rPr>
          <w:rFonts w:ascii="Times New Roman" w:eastAsia="Calibri" w:hAnsi="Times New Roman" w:cs="Times New Roman"/>
          <w:sz w:val="24"/>
          <w:szCs w:val="24"/>
        </w:rPr>
        <w:t>представлены на региональном и федеральном уровнях – в первую очередь в докладах и отчетах;</w:t>
      </w:r>
    </w:p>
    <w:p w:rsidR="0087504D" w:rsidRDefault="006859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законотворческой деятельности;</w:t>
      </w:r>
    </w:p>
    <w:p w:rsidR="0087504D" w:rsidRDefault="006859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внесения корректировок в государственную программу;</w:t>
      </w:r>
    </w:p>
    <w:p w:rsidR="0087504D" w:rsidRDefault="006859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определение финансовых результатов деятельности индустрии, вклада в экономику гор</w:t>
      </w:r>
      <w:r>
        <w:rPr>
          <w:rFonts w:ascii="Times New Roman" w:eastAsia="Calibri" w:hAnsi="Times New Roman" w:cs="Times New Roman"/>
          <w:sz w:val="24"/>
          <w:szCs w:val="24"/>
        </w:rPr>
        <w:t>ода, в бюджет, определение занятости в сфере туриндустрии;</w:t>
      </w:r>
    </w:p>
    <w:p w:rsidR="0087504D" w:rsidRDefault="006859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формирования новой маркетинговой стратегии деятельности города; </w:t>
      </w:r>
    </w:p>
    <w:p w:rsidR="0087504D" w:rsidRDefault="006859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87504D">
          <w:pgSz w:w="11907" w:h="16839" w:code="9"/>
          <w:pgMar w:top="993" w:right="850" w:bottom="1134" w:left="1701" w:header="708" w:footer="708" w:gutter="0"/>
          <w:cols w:space="720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предоставления информации, необходимой для взаимодействия по вопросам развития туризма органов власти Санкт-Петербурга </w:t>
      </w:r>
      <w:r>
        <w:rPr>
          <w:rFonts w:ascii="Times New Roman" w:eastAsia="Calibri" w:hAnsi="Times New Roman" w:cs="Times New Roman"/>
          <w:sz w:val="24"/>
          <w:szCs w:val="24"/>
        </w:rPr>
        <w:t>со средствами массовой информации, с турбизнесом и предприятиями индустрии гостеприимства в части совершенствования городского туристского продукта, в целях обоснования управленческих решений.</w:t>
      </w:r>
    </w:p>
    <w:p w:rsidR="0087504D" w:rsidRDefault="0087504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504D" w:rsidRDefault="0087504D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020"/>
        <w:gridCol w:w="1920"/>
        <w:gridCol w:w="1805"/>
        <w:gridCol w:w="1018"/>
        <w:gridCol w:w="1017"/>
        <w:gridCol w:w="1017"/>
        <w:gridCol w:w="1018"/>
        <w:gridCol w:w="1017"/>
        <w:gridCol w:w="1003"/>
        <w:gridCol w:w="1361"/>
        <w:gridCol w:w="2035"/>
        <w:gridCol w:w="57"/>
      </w:tblGrid>
      <w:tr w:rsidR="0087504D">
        <w:trPr>
          <w:trHeight w:val="1017"/>
        </w:trPr>
        <w:tc>
          <w:tcPr>
            <w:tcW w:w="15575" w:type="dxa"/>
            <w:gridSpan w:val="12"/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11.3. ПЕРЕЧЕНЬ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мероприятий подпрограммы  3</w:t>
            </w:r>
          </w:p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444"/>
        </w:trPr>
        <w:tc>
          <w:tcPr>
            <w:tcW w:w="15575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ПРОЦЕССНАЯ ЧАСТЬ</w:t>
            </w:r>
          </w:p>
          <w:p w:rsidR="0087504D" w:rsidRDefault="0087504D"/>
        </w:tc>
        <w:tc>
          <w:tcPr>
            <w:tcW w:w="57" w:type="dxa"/>
          </w:tcPr>
          <w:p w:rsidR="0087504D" w:rsidRDefault="0087504D"/>
        </w:tc>
      </w:tr>
      <w:tr w:rsidR="0087504D">
        <w:trPr>
          <w:trHeight w:val="574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№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п/п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Наименование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Исполнитель,</w:t>
            </w:r>
          </w:p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участник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Источник финансирования</w:t>
            </w: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Срок реализации и объем финансирования по годам, тыс. руб.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ИТОГО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1117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2024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2025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2026 г.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2027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2028 г.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2029 г.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22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3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Реализация комплекса мер  по продвижению туристского потенциала  Санкт-Петербурга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19 984,3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20 436,2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20 887,1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21 722,5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22 591,4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23 495,1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129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116,6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2, Индикатор 3.1 , Индикатор 3.2, Индикатор 3.3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16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87504D"/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Обеспечение реализации проекта  «Контакт-центр»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8 768,6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9 133,4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9 497,8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9 877,7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10 272,8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10 683,7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58 234,0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Индикатор 3.2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Предоставление субсидии ГБУ «ГТИБ»  на финансовое обеспечение выполнения государственного задания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927 841,6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959 231,7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997 601,0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1 037 505,0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1 079 005,2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1 122 165,4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6 123 349,9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Индикатор 3.1 , Индикатор 3.2, Индикатор 3.3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Разработка предложений  по внедрению немоторизированных средств передвижения в туристские продукты Санкт-Петербурга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КРТ, КТ, КРТИ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2, Индикатор 3.3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8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Разработка комплекса мер по созданию безопасной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среды пребывания для туристов в Санкт-Петербурге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КРТ, КВЗПБ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2, Индикатор 3.3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Предоставление субсидии автономной некоммерческой организации «Центр компетенций  в сфере туризма  и гостеприимства» в виде имущественного взноса  на финансовое обеспечение уставной деятельности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5 000,0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5 000,0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5 000,0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5 200,0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400,0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5 600,0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31 200,0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1, Индикатор 3.5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5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Проведение аналитических исследований в отрасли туризма Санкт-Петербурга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КРТ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Бюджет Санкт-Петербурга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15 300,0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15 900,0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16 500,0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17 160,0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17 846,4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18 560,2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101 266,6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ЦП 1, ЦП 6 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  <w:tr w:rsidR="0087504D">
        <w:trPr>
          <w:trHeight w:val="444"/>
        </w:trPr>
        <w:tc>
          <w:tcPr>
            <w:tcW w:w="6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Всего процессная часть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подпрограммы 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976 894,5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1 009 701,3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1 049 485,9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1 091 465,2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1 135 115,8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1 180 504,4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6 443 167,1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04D" w:rsidRDefault="006859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57" w:type="dxa"/>
            <w:tcBorders>
              <w:left w:val="single" w:sz="4" w:space="0" w:color="000000"/>
            </w:tcBorders>
          </w:tcPr>
          <w:p w:rsidR="0087504D" w:rsidRDefault="0087504D"/>
        </w:tc>
      </w:tr>
    </w:tbl>
    <w:p w:rsidR="0087504D" w:rsidRDefault="0087504D">
      <w:pPr>
        <w:sectPr w:rsidR="0087504D">
          <w:pgSz w:w="16839" w:h="11907" w:orient="landscape" w:code="9"/>
          <w:pgMar w:top="567" w:right="567" w:bottom="517" w:left="567" w:header="567" w:footer="517" w:gutter="0"/>
          <w:cols w:space="720"/>
        </w:sectPr>
      </w:pPr>
    </w:p>
    <w:p w:rsidR="0087504D" w:rsidRDefault="0087504D"/>
    <w:p w:rsidR="0087504D" w:rsidRDefault="0087504D"/>
    <w:p w:rsidR="0087504D" w:rsidRDefault="00685926">
      <w:pPr>
        <w:widowControl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11.4. Механизмы реализации подпрограммы 3</w:t>
      </w:r>
    </w:p>
    <w:p w:rsidR="0087504D" w:rsidRDefault="0087504D">
      <w:pPr>
        <w:widowControl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Реализация мероприятия, предусмотренного в пункте 1 процессной части перечня мероприятий подпрограммы 3, осуществляется КРТ в соответствии с Федеральным </w:t>
      </w:r>
      <w:hyperlink r:id="rId39">
        <w:r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 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Реализация мероприятия, предусмотренного в пункте 2 процессной части перечня меропри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ятий подпрограммы 3, осуществляется КРТ в соответствии с Федеральным </w:t>
      </w:r>
      <w:hyperlink r:id="rId40">
        <w:r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«О контрактной системе в сфере заку</w:t>
      </w:r>
      <w:r>
        <w:rPr>
          <w:rFonts w:ascii="Times New Roman" w:eastAsia="Times New Roman" w:hAnsi="Times New Roman" w:cs="Times New Roman"/>
          <w:sz w:val="24"/>
          <w:szCs w:val="24"/>
        </w:rPr>
        <w:t>пок товаров, работ, услуг для обеспечения государственных и муниципальных нужд».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«Контакт-центр» представляет собой специальную телефонную линию, обеспечивающую информационно-справочное обслуживание туристов, а также консультационную помощь в </w:t>
      </w:r>
      <w:r>
        <w:rPr>
          <w:rFonts w:ascii="Times New Roman" w:eastAsia="Times New Roman" w:hAnsi="Times New Roman" w:cs="Times New Roman"/>
          <w:sz w:val="24"/>
          <w:szCs w:val="24"/>
        </w:rPr>
        <w:t>чрезвычайных и экстренных ситуациях с расширенной лингвистической поддержкой на русском и английском языках.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Реализация мероприятия, предусмотренного в пункте 3 процессной части перечня мероприятий подпрограммы 3, осуществляется КРТ путем предоставления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субсидий на финансовое обеспечение выполнения государственного задания ГБУ «ГТИБ» в соответствии с </w:t>
      </w:r>
      <w:hyperlink r:id="rId41">
        <w:r>
          <w:rPr>
            <w:rFonts w:ascii="Times New Roman" w:eastAsia="Times New Roman" w:hAnsi="Times New Roman" w:cs="Times New Roman"/>
            <w:sz w:val="24"/>
            <w:szCs w:val="24"/>
          </w:rPr>
          <w:t>постановлени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ем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от 20.01.2011 № 63 «О 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заданий» и </w:t>
      </w:r>
      <w:hyperlink r:id="rId42">
        <w:r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Санкт-Петербурга от 29.12.2016 № 1271 «О порядке предоставления субсидий из бюджета Санкт-Петербурга государственным б</w:t>
      </w:r>
      <w:r>
        <w:rPr>
          <w:rFonts w:ascii="Times New Roman" w:eastAsia="Times New Roman" w:hAnsi="Times New Roman" w:cs="Times New Roman"/>
          <w:sz w:val="24"/>
          <w:szCs w:val="24"/>
        </w:rPr>
        <w:t>юджетным и автономным учреждениям Санкт-Петербурга на финансовое обеспечение выполнения ими государственного задания на оказание государственных услуг (выполнение работ)».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Реализация мероприятий, предусмотренных в пункте 4 процессной части перечня мероп</w:t>
      </w:r>
      <w:r>
        <w:rPr>
          <w:rFonts w:ascii="Times New Roman" w:eastAsia="Times New Roman" w:hAnsi="Times New Roman" w:cs="Times New Roman"/>
          <w:sz w:val="24"/>
          <w:szCs w:val="24"/>
        </w:rPr>
        <w:t>риятий подпрограммы 3, осуществляется КРТ на основе предложений, представляемых соисполнителями и в рамках текущего финансирования деятельности ИОГВ.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Мероприятие, предусмотренное в </w:t>
      </w:r>
      <w:hyperlink w:anchor="P3417">
        <w:r>
          <w:rPr>
            <w:rFonts w:ascii="Times New Roman" w:eastAsia="Times New Roman" w:hAnsi="Times New Roman" w:cs="Times New Roman"/>
            <w:sz w:val="24"/>
            <w:szCs w:val="24"/>
          </w:rPr>
          <w:t>пункте 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 перечня мероприятий подпрограммы 3, предполагает разработку КРТ совместно с КТ и КРТИ мероприятий по популяризации немоторизованных средств передвижения в туристской индустрии Санкт-Петербурга, а также совместную разработку вариантов разв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ития туристской инфраструктуры для использования немоторизованных средств передвижения в Санкт-Петербурге (велосипедов, самокатов, сегвеев и т.д.) на основе данных КРТ о наиболее востребованных в Санкт-Петербурге туристских маршрутах и объектах притяжения </w:t>
      </w:r>
      <w:r>
        <w:rPr>
          <w:rFonts w:ascii="Times New Roman" w:eastAsia="Times New Roman" w:hAnsi="Times New Roman" w:cs="Times New Roman"/>
          <w:sz w:val="24"/>
          <w:szCs w:val="24"/>
        </w:rPr>
        <w:t>туристов.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Разработка комплекса мер по созданию безопасной среды пребывания для туристов в Санкт-Петербурге, предусмотренного в </w:t>
      </w:r>
      <w:hyperlink w:anchor="P3432">
        <w:r>
          <w:rPr>
            <w:rFonts w:ascii="Times New Roman" w:eastAsia="Times New Roman" w:hAnsi="Times New Roman" w:cs="Times New Roman"/>
            <w:sz w:val="24"/>
            <w:szCs w:val="24"/>
          </w:rPr>
          <w:t>пункте 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 перечня мероприятий подпрограммы 3, осуществляется КРТ в пределах своих </w:t>
      </w:r>
      <w:r>
        <w:rPr>
          <w:rFonts w:ascii="Times New Roman" w:eastAsia="Times New Roman" w:hAnsi="Times New Roman" w:cs="Times New Roman"/>
          <w:sz w:val="24"/>
          <w:szCs w:val="24"/>
        </w:rPr>
        <w:t>полномочий с учетом предложений КВЗПБ и в рамках текущего финансирования деятельности.</w:t>
      </w:r>
    </w:p>
    <w:p w:rsidR="0087504D" w:rsidRDefault="0068592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Реализация мероприятия, предусмотренного в </w:t>
      </w:r>
      <w:hyperlink w:anchor="P3458">
        <w:r>
          <w:rPr>
            <w:rFonts w:ascii="Times New Roman" w:eastAsia="Times New Roman" w:hAnsi="Times New Roman" w:cs="Times New Roman"/>
            <w:sz w:val="24"/>
            <w:szCs w:val="24"/>
          </w:rPr>
          <w:t>пункте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процессной части перечня мероприятий подпрограммы 3, осуществляется за счет бюджетных </w:t>
      </w:r>
      <w:r>
        <w:rPr>
          <w:rFonts w:ascii="Times New Roman" w:eastAsia="Times New Roman" w:hAnsi="Times New Roman" w:cs="Times New Roman"/>
          <w:sz w:val="24"/>
          <w:szCs w:val="24"/>
        </w:rPr>
        <w:t>ассигнований бюджета Санкт-Петербурга на соответствующий финансовый год, предусмотренных КРТ, путем предоставления субсидии автономной некоммерческой организации «Центр компетенций в сфере туризма и гостеприимства» в виде имущественного взноса на финансово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обеспечение уставной деятельности в соответствии с ежегодно утверждаемым Правительством Санкт-Петербурга порядком. </w:t>
      </w:r>
    </w:p>
    <w:p w:rsidR="0087504D" w:rsidRDefault="0068592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Реализация мероприятия, предусмотренного в пункте 7 процессной части перечня мероприятий подпрограммы 3, осуществляется КРТ в соответст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вии с Федеральным </w:t>
      </w:r>
      <w:hyperlink r:id="rId43">
        <w:r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венных и муниципальных нужд». 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Принятые сокращения: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ВРП – валовый региональный продукт Санкт-Петербурга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 МВД – Главное управление Министерства внутренних дел Российской Федерации по г.Санкт-Петербургу и Ленинградской области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ГЧП – государственно-частное </w:t>
      </w:r>
      <w:r>
        <w:rPr>
          <w:rFonts w:ascii="Times New Roman" w:hAnsi="Times New Roman" w:cs="Times New Roman"/>
          <w:sz w:val="24"/>
          <w:szCs w:val="24"/>
        </w:rPr>
        <w:t>партнерство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ИОГВ – исполнительные органы государственной власти Санкт-Петербурга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– индивидуальные предприниматели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КВЗПБ – Комитет по вопросам законности, правопорядка и безопасности</w:t>
      </w:r>
    </w:p>
    <w:p w:rsidR="0087504D" w:rsidRDefault="0068592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КВС</w:t>
      </w:r>
      <w:r>
        <w:rPr>
          <w:rFonts w:ascii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</w:rPr>
        <w:t>Комитет по внешним связям Санкт-Петербурга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КЗ – Комитет по </w:t>
      </w:r>
      <w:r>
        <w:rPr>
          <w:rFonts w:ascii="Times New Roman" w:hAnsi="Times New Roman" w:cs="Times New Roman"/>
          <w:sz w:val="24"/>
          <w:szCs w:val="24"/>
        </w:rPr>
        <w:t>здравоохранению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 – Комитет по инвестициям Санкт-Петербурга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КИО – Комитет имущественных отношений Санкт-Петербурга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– Комитет по образованию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КППИТ – Комитет по промышленной политике, инновациям и торговле Санкт-Петербурга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КРТ – Комитет по развитию туриз</w:t>
      </w:r>
      <w:r>
        <w:rPr>
          <w:rFonts w:ascii="Times New Roman" w:hAnsi="Times New Roman" w:cs="Times New Roman"/>
          <w:sz w:val="24"/>
          <w:szCs w:val="24"/>
        </w:rPr>
        <w:t>ма Санкт-Петербурга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КРТИ – Комитет по развитию транспортной инфраструктуры Санкт-Петербурга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 – Комитет по транспорту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 – средства массовой информации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РФ № 68 – Указ Президента Российской Федерации от 04.02.2021 № 68 «Об оценке эффективн</w:t>
      </w:r>
      <w:r>
        <w:rPr>
          <w:rFonts w:ascii="Times New Roman" w:hAnsi="Times New Roman" w:cs="Times New Roman"/>
          <w:sz w:val="24"/>
          <w:szCs w:val="24"/>
        </w:rPr>
        <w:t>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УСН – упрощенная система налогообложен</w:t>
      </w:r>
      <w:r>
        <w:rPr>
          <w:rFonts w:ascii="Times New Roman" w:hAnsi="Times New Roman" w:cs="Times New Roman"/>
          <w:sz w:val="24"/>
          <w:szCs w:val="24"/>
        </w:rPr>
        <w:t>ия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№ 305-ФЗ – Федеральный закон от 31.07.2020 № 305-ФЗ «О внесении изменений в Федеральный закон «О порядке выезда из Российской Федерации и въезда в Российскую Федерацию» и признании утратившим силу отдельных положений законодательных ак</w:t>
      </w:r>
      <w:r>
        <w:rPr>
          <w:rFonts w:ascii="Times New Roman" w:hAnsi="Times New Roman" w:cs="Times New Roman"/>
          <w:sz w:val="24"/>
          <w:szCs w:val="24"/>
        </w:rPr>
        <w:t>тов Российской Федерации»</w:t>
      </w:r>
    </w:p>
    <w:p w:rsidR="0087504D" w:rsidRDefault="0068592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ЮНВТО – Всемирная туристская организация</w:t>
      </w:r>
    </w:p>
    <w:p w:rsidR="0087504D" w:rsidRDefault="0087504D">
      <w:pPr>
        <w:spacing w:after="160" w:line="259" w:lineRule="auto"/>
        <w:rPr>
          <w:rFonts w:eastAsiaTheme="minorHAnsi" w:cs="Arial"/>
          <w:sz w:val="22"/>
        </w:rPr>
      </w:pPr>
    </w:p>
    <w:p w:rsidR="0087504D" w:rsidRDefault="0087504D">
      <w:pPr>
        <w:spacing w:after="160" w:line="259" w:lineRule="auto"/>
        <w:rPr>
          <w:rFonts w:eastAsiaTheme="minorHAnsi" w:cs="Arial"/>
          <w:sz w:val="22"/>
        </w:rPr>
      </w:pPr>
    </w:p>
    <w:sectPr w:rsidR="0087504D">
      <w:pgSz w:w="11907" w:h="16839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26" w:rsidRDefault="00685926">
      <w:r>
        <w:separator/>
      </w:r>
    </w:p>
  </w:endnote>
  <w:endnote w:type="continuationSeparator" w:id="0">
    <w:p w:rsidR="00685926" w:rsidRDefault="0068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26" w:rsidRDefault="00685926">
      <w:r>
        <w:separator/>
      </w:r>
    </w:p>
  </w:footnote>
  <w:footnote w:type="continuationSeparator" w:id="0">
    <w:p w:rsidR="00685926" w:rsidRDefault="00685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04D" w:rsidRDefault="00685926">
    <w:pPr>
      <w:pStyle w:val="a5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>PAGE   \* MERGEFORMAT</w:instrText>
    </w:r>
    <w:r>
      <w:rPr>
        <w:rFonts w:ascii="Times New Roman" w:hAnsi="Times New Roman" w:cs="Times New Roman"/>
        <w:sz w:val="24"/>
      </w:rPr>
      <w:fldChar w:fldCharType="separate"/>
    </w:r>
    <w:r w:rsidR="00CF5957">
      <w:rPr>
        <w:rFonts w:ascii="Times New Roman" w:hAnsi="Times New Roman" w:cs="Times New Roman"/>
        <w:noProof/>
        <w:sz w:val="24"/>
      </w:rPr>
      <w:t>55</w:t>
    </w:r>
    <w:r>
      <w:rPr>
        <w:rFonts w:ascii="Times New Roman" w:hAnsi="Times New Roman" w:cs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04D" w:rsidRDefault="00685926">
    <w:pPr>
      <w:pStyle w:val="a5"/>
      <w:jc w:val="right"/>
    </w:pPr>
    <w:r>
      <w:rPr>
        <w:color w:val="000000"/>
        <w:sz w:val="16"/>
      </w:rPr>
      <w:t>226015/2023-3902(1)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701"/>
    <w:multiLevelType w:val="hybridMultilevel"/>
    <w:tmpl w:val="79566DE4"/>
    <w:lvl w:ilvl="0" w:tplc="C0922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504D"/>
    <w:rsid w:val="00685926"/>
    <w:rsid w:val="0087504D"/>
    <w:rsid w:val="00C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815FB2"/>
  <w15:docId w15:val="{0564B8AC-4A06-48ED-8F74-8447660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eastAsiaTheme="minorHAnsi"/>
    </w:rPr>
  </w:style>
  <w:style w:type="paragraph" w:customStyle="1" w:styleId="ConsPlusTitle">
    <w:name w:val="ConsPlusTitle"/>
    <w:pPr>
      <w:widowControl w:val="0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Cs w:val="20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9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5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22060DD4C7B54D235826489BD0D84EDEBABADC3FC06C9AC27A9DDF6E434B10300D7E770C6A8F94EAB4B916E645F8yFH" TargetMode="External"/><Relationship Id="rId18" Type="http://schemas.openxmlformats.org/officeDocument/2006/relationships/hyperlink" Target="consultantplus://offline/ref=22060DD4C7B54D235826489BD0D84EDEBABDDC36C56E9AC27A9DDF6E434B10301F7E2F006B8D8AEABEAC40B703DBB22406573A08AE2E899BF8y4H" TargetMode="External"/><Relationship Id="rId26" Type="http://schemas.openxmlformats.org/officeDocument/2006/relationships/hyperlink" Target="consultantplus://offline/ref=F29D8E1031341F8A226F6BA6254BE880728C74058D4DB418A4EDB74E96E84BE5F757ABF8F981D9CDBE89F26EF24D0BC73A0E511CF947D0FDkDJCM" TargetMode="External"/><Relationship Id="rId39" Type="http://schemas.openxmlformats.org/officeDocument/2006/relationships/hyperlink" Target="consultantplus://offline/ref=F29D8E1031341F8A226F74B7304BE880738479058C41B418A4EDB74E96E84BE5E557F3F4FB88C7C4BB9CA43FB4k1J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060DD4C7B54D235826578AC5D84EDEBBBCD03AC26C9AC27A9DDF6E434B10301F7E2F006B8D8AEBB3AC40B703DBB22406573A08AE2E899BF8y4H" TargetMode="External"/><Relationship Id="rId34" Type="http://schemas.openxmlformats.org/officeDocument/2006/relationships/hyperlink" Target="consultantplus://offline/ref=F29D8E1031341F8A226F6BA6254BE880728870058C4FB418A4EDB74E96E84BE5E557F3F4FB88C7C4BB9CA43FB4k1J9M" TargetMode="External"/><Relationship Id="rId42" Type="http://schemas.openxmlformats.org/officeDocument/2006/relationships/hyperlink" Target="consultantplus://offline/ref=F29D8E1031341F8A226F6BA6254BE880728F7200854CB418A4EDB74E96E84BE5E557F3F4FB88C7C4BB9CA43FB4k1J9M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22060DD4C7B54D235826489BD0D84EDEBABAD03AC66D9AC27A9DDF6E434B10300D7E770C6A8F94EAB4B916E645F8yFH" TargetMode="External"/><Relationship Id="rId17" Type="http://schemas.openxmlformats.org/officeDocument/2006/relationships/hyperlink" Target="consultantplus://offline/ref=22060DD4C7B54D235826489BD0D84EDEBABDD436CA6D9AC27A9DDF6E434B10301F7E2F006B8D8AEBB5AC40B703DBB22406573A08AE2E899BF8y4H" TargetMode="External"/><Relationship Id="rId25" Type="http://schemas.openxmlformats.org/officeDocument/2006/relationships/hyperlink" Target="consultantplus://offline/ref=F29D8E1031341F8A226F74B7304BE880738A79018A4BB418A4EDB74E96E84BE5F757ABF8F981D9C5BE89F26EF24D0BC73A0E511CF947D0FDkDJCM" TargetMode="External"/><Relationship Id="rId33" Type="http://schemas.openxmlformats.org/officeDocument/2006/relationships/hyperlink" Target="consultantplus://offline/ref=F29D8E1031341F8A226F6BA6254BE880718577038D4CB418A4EDB74E96E84BE5E557F3F4FB88C7C4BB9CA43FB4k1J9M" TargetMode="External"/><Relationship Id="rId38" Type="http://schemas.openxmlformats.org/officeDocument/2006/relationships/hyperlink" Target="consultantplus://offline/ref=F29D8E1031341F8A226F74B7304BE880738A79018A4BB418A4EDB74E96E84BE5F757ABF8F981D9C5BE89F26EF24D0BC73A0E511CF947D0FDkDJ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060DD4C7B54D235826489BD0D84EDEBAB8D237C16E9AC27A9DDF6E434B10301F7E2F006B8D8AEBB1AC40B703DBB22406573A08AE2E899BF8y4H" TargetMode="External"/><Relationship Id="rId20" Type="http://schemas.openxmlformats.org/officeDocument/2006/relationships/hyperlink" Target="consultantplus://offline/ref=22060DD4C7B54D235826578AC5D84EDEBBBFD03AC36F9AC27A9DDF6E434B10300D7E770C6A8F94EAB4B916E645F8yFH" TargetMode="External"/><Relationship Id="rId29" Type="http://schemas.openxmlformats.org/officeDocument/2006/relationships/hyperlink" Target="consultantplus://offline/ref=F29D8E1031341F8A226F74B7304BE88073847501854AB418A4EDB74E96E84BE5F757ABF8F981D9C5BA89F26EF24D0BC73A0E511CF947D0FDkDJCM" TargetMode="External"/><Relationship Id="rId41" Type="http://schemas.openxmlformats.org/officeDocument/2006/relationships/hyperlink" Target="consultantplus://offline/ref=F29D8E1031341F8A226F6BA6254BE880728870058C4FB418A4EDB74E96E84BE5E557F3F4FB88C7C4BB9CA43FB4k1J9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F29D8E1031341F8A226F6BA6254BE880728C7707894CB418A4EDB74E96E84BE5F757ABF8F982D9C5B889F26EF24D0BC73A0E511CF947D0FDkDJCM" TargetMode="External"/><Relationship Id="rId32" Type="http://schemas.openxmlformats.org/officeDocument/2006/relationships/hyperlink" Target="consultantplus://offline/ref=F29D8E1031341F8A226F74B7304BE880738479058C41B418A4EDB74E96E84BE5E557F3F4FB88C7C4BB9CA43FB4k1J9M" TargetMode="External"/><Relationship Id="rId37" Type="http://schemas.openxmlformats.org/officeDocument/2006/relationships/hyperlink" Target="consultantplus://offline/ref=F29D8E1031341F8A226F6BA6254BE880728E72018D40B418A4EDB74E96E84BE5E557F3F4FB88C7C4BB9CA43FB4k1J9M" TargetMode="External"/><Relationship Id="rId40" Type="http://schemas.openxmlformats.org/officeDocument/2006/relationships/hyperlink" Target="consultantplus://offline/ref=F29D8E1031341F8A226F74B7304BE880738479058C41B418A4EDB74E96E84BE5E557F3F4FB88C7C4BB9CA43FB4k1J9M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2060DD4C7B54D235826489BD0D84EDEBABFD337C5689AC27A9DDF6E434B10300D7E770C6A8F94EAB4B916E645F8yFH" TargetMode="External"/><Relationship Id="rId23" Type="http://schemas.openxmlformats.org/officeDocument/2006/relationships/hyperlink" Target="consultantplus://offline/ref=22060DD4C7B54D235826489BD0D84EDEBAB9DD3EC4699AC27A9DDF6E434B10301F7E2F006B8D8AEBB5AC40B703DBB22406573A08AE2E899BF8y4H" TargetMode="External"/><Relationship Id="rId28" Type="http://schemas.openxmlformats.org/officeDocument/2006/relationships/hyperlink" Target="consultantplus://offline/ref=F29D8E1031341F8A226F74B7304BE880738472028541B418A4EDB74E96E84BE5F757ABF8F982D1CFE8D3E26ABB1A0FDB33174F19E747kDJ1M" TargetMode="External"/><Relationship Id="rId36" Type="http://schemas.openxmlformats.org/officeDocument/2006/relationships/hyperlink" Target="consultantplus://offline/ref=F29D8E1031341F8A226F74B7304BE880738479058C41B418A4EDB74E96E84BE5E557F3F4FB88C7C4BB9CA43FB4k1J9M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22060DD4C7B54D235826489BD0D84EDEBABCD638C56B9AC27A9DDF6E434B10301F7E2F006B8D8AEABEAC40B703DBB22406573A08AE2E899BF8y4H" TargetMode="External"/><Relationship Id="rId31" Type="http://schemas.openxmlformats.org/officeDocument/2006/relationships/hyperlink" Target="consultantplus://offline/ref=F29D8E1031341F8A226F6BA6254BE880728C74058D4DB418A4EDB74E96E84BE5F757ABF8F981D9CDBE89F26EF24D0BC73A0E511CF947D0FDkDJC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sian-travel-awards.ru/" TargetMode="External"/><Relationship Id="rId14" Type="http://schemas.openxmlformats.org/officeDocument/2006/relationships/hyperlink" Target="consultantplus://offline/ref=22060DD4C7B54D235826489BD0D84EDEBBBED23CC4699AC27A9DDF6E434B10301F7E2F006B8D8AEBBFAC40B703DBB22406573A08AE2E899BF8y4H" TargetMode="External"/><Relationship Id="rId22" Type="http://schemas.openxmlformats.org/officeDocument/2006/relationships/hyperlink" Target="consultantplus://offline/ref=22060DD4C7B54D235826489BD0D84EDEBAB8D73DC5689AC27A9DDF6E434B10301F7E2F006B8E82E1E3F650B34A8FBD3B044A2409B02EF8y8H" TargetMode="External"/><Relationship Id="rId27" Type="http://schemas.openxmlformats.org/officeDocument/2006/relationships/hyperlink" Target="consultantplus://offline/ref=F29D8E1031341F8A226F74B7304BE880738A79018A4BB418A4EDB74E96E84BE5F757ABF8F981D9C5BE89F26EF24D0BC73A0E511CF947D0FDkDJCM" TargetMode="External"/><Relationship Id="rId30" Type="http://schemas.openxmlformats.org/officeDocument/2006/relationships/hyperlink" Target="consultantplus://offline/ref=F29D8E1031341F8A226F6BA6254BE880718577038D4CB418A4EDB74E96E84BE5E557F3F4FB88C7C4BB9CA43FB4k1J9M" TargetMode="External"/><Relationship Id="rId35" Type="http://schemas.openxmlformats.org/officeDocument/2006/relationships/hyperlink" Target="consultantplus://offline/ref=F29D8E1031341F8A226F6BA6254BE880728F7200854CB418A4EDB74E96E84BE5E557F3F4FB88C7C4BB9CA43FB4k1J9M" TargetMode="External"/><Relationship Id="rId43" Type="http://schemas.openxmlformats.org/officeDocument/2006/relationships/hyperlink" Target="consultantplus://offline/ref=F29D8E1031341F8A226F74B7304BE880738479058C41B418A4EDB74E96E84BE5E557F3F4FB88C7C4BB9CA43FB4k1J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68</Pages>
  <Words>24963</Words>
  <Characters>142290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api/visary</dc:creator>
  <cp:lastModifiedBy>Шабалинова Галина Сергеевна</cp:lastModifiedBy>
  <cp:revision>2</cp:revision>
  <cp:lastPrinted>2024-04-08T10:04:00Z</cp:lastPrinted>
  <dcterms:created xsi:type="dcterms:W3CDTF">2024-04-02T12:05:00Z</dcterms:created>
  <dcterms:modified xsi:type="dcterms:W3CDTF">2024-04-08T10:05:00Z</dcterms:modified>
</cp:coreProperties>
</file>